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220"/>
        </w:tabs>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东阿县锦彩新材料有限公司年产60万平方米铝单板项目（一期）</w:t>
      </w:r>
    </w:p>
    <w:p>
      <w:pPr>
        <w:keepNext w:val="0"/>
        <w:keepLines w:val="0"/>
        <w:pageBreakBefore w:val="0"/>
        <w:tabs>
          <w:tab w:val="left" w:pos="220"/>
        </w:tabs>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lang w:val="en-US" w:eastAsia="zh-CN"/>
        </w:rPr>
        <w:t>竣工</w:t>
      </w:r>
      <w:r>
        <w:rPr>
          <w:rFonts w:hint="default" w:ascii="Times New Roman" w:hAnsi="Times New Roman" w:eastAsia="宋体" w:cs="Times New Roman"/>
          <w:b/>
          <w:color w:val="auto"/>
          <w:sz w:val="28"/>
          <w:szCs w:val="28"/>
        </w:rPr>
        <w:t>环境保护验收现场检查及验收工作组验收意见</w:t>
      </w:r>
    </w:p>
    <w:p>
      <w:pPr>
        <w:keepNext w:val="0"/>
        <w:keepLines w:val="0"/>
        <w:pageBreakBefore w:val="0"/>
        <w:tabs>
          <w:tab w:val="left" w:pos="220"/>
        </w:tabs>
        <w:kinsoku/>
        <w:wordWrap/>
        <w:overflowPunct/>
        <w:topLinePunct w:val="0"/>
        <w:autoSpaceDE/>
        <w:autoSpaceDN/>
        <w:bidi w:val="0"/>
        <w:adjustRightInd w:val="0"/>
        <w:snapToGrid w:val="0"/>
        <w:spacing w:line="240" w:lineRule="auto"/>
        <w:ind w:left="233" w:leftChars="111" w:firstLine="518" w:firstLineChars="216"/>
        <w:jc w:val="left"/>
        <w:textAlignment w:val="auto"/>
        <w:rPr>
          <w:rFonts w:hint="default" w:ascii="Times New Roman" w:hAnsi="Times New Roman" w:cs="Times New Roman"/>
          <w:color w:val="auto"/>
          <w:sz w:val="24"/>
          <w:szCs w:val="24"/>
          <w:highlight w:val="none"/>
          <w:lang w:val="en-US" w:eastAsia="zh-CN"/>
        </w:rPr>
      </w:pPr>
    </w:p>
    <w:p>
      <w:pPr>
        <w:keepNext w:val="0"/>
        <w:keepLines w:val="0"/>
        <w:pageBreakBefore w:val="0"/>
        <w:tabs>
          <w:tab w:val="left" w:pos="220"/>
        </w:tabs>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highlight w:val="none"/>
          <w:lang w:val="en-US" w:eastAsia="zh-CN"/>
        </w:rPr>
        <w:t>2022年12月10日</w:t>
      </w:r>
      <w:r>
        <w:rPr>
          <w:rFonts w:hint="default" w:ascii="Times New Roman" w:hAnsi="Times New Roman" w:eastAsia="宋体"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东阿县锦彩新材料有限公司</w:t>
      </w:r>
      <w:r>
        <w:rPr>
          <w:rFonts w:hint="default" w:ascii="Times New Roman" w:hAnsi="Times New Roman" w:eastAsia="宋体" w:cs="Times New Roman"/>
          <w:color w:val="auto"/>
          <w:sz w:val="24"/>
          <w:szCs w:val="24"/>
          <w:highlight w:val="none"/>
        </w:rPr>
        <w:t>组织召开</w:t>
      </w:r>
      <w:r>
        <w:rPr>
          <w:rFonts w:hint="default" w:ascii="Times New Roman" w:hAnsi="Times New Roman" w:cs="Times New Roman"/>
          <w:color w:val="auto"/>
          <w:sz w:val="24"/>
          <w:szCs w:val="24"/>
          <w:highlight w:val="none"/>
          <w:lang w:val="en-US" w:eastAsia="zh-CN"/>
        </w:rPr>
        <w:t>年产60万平方米铝单板项目（一期）</w:t>
      </w:r>
      <w:r>
        <w:rPr>
          <w:rFonts w:hint="default" w:ascii="Times New Roman" w:hAnsi="Times New Roman" w:eastAsia="宋体" w:cs="Times New Roman"/>
          <w:color w:val="auto"/>
          <w:sz w:val="24"/>
          <w:szCs w:val="24"/>
          <w:highlight w:val="none"/>
        </w:rPr>
        <w:t>竣</w:t>
      </w:r>
      <w:r>
        <w:rPr>
          <w:rFonts w:hint="default" w:ascii="Times New Roman" w:hAnsi="Times New Roman" w:eastAsia="宋体" w:cs="Times New Roman"/>
          <w:color w:val="auto"/>
          <w:sz w:val="24"/>
          <w:szCs w:val="24"/>
        </w:rPr>
        <w:t>工环境保护验收现场检查及</w:t>
      </w:r>
      <w:bookmarkStart w:id="0" w:name="_GoBack"/>
      <w:bookmarkEnd w:id="0"/>
      <w:r>
        <w:rPr>
          <w:rFonts w:hint="default" w:ascii="Times New Roman" w:hAnsi="Times New Roman" w:eastAsia="宋体" w:cs="Times New Roman"/>
          <w:color w:val="auto"/>
          <w:sz w:val="24"/>
          <w:szCs w:val="24"/>
        </w:rPr>
        <w:t>验收会。验收工作组由工程建设单位（</w:t>
      </w:r>
      <w:r>
        <w:rPr>
          <w:rFonts w:hint="default" w:ascii="Times New Roman" w:hAnsi="Times New Roman" w:cs="Times New Roman"/>
          <w:color w:val="auto"/>
          <w:sz w:val="24"/>
          <w:szCs w:val="24"/>
          <w:lang w:val="en-US" w:eastAsia="zh-CN"/>
        </w:rPr>
        <w:t>东阿县锦彩新材料有限公司</w:t>
      </w:r>
      <w:r>
        <w:rPr>
          <w:rFonts w:hint="default" w:ascii="Times New Roman" w:hAnsi="Times New Roman" w:eastAsia="宋体" w:cs="Times New Roman"/>
          <w:color w:val="auto"/>
          <w:sz w:val="24"/>
          <w:szCs w:val="24"/>
        </w:rPr>
        <w:t>）、监测单位（</w:t>
      </w:r>
      <w:r>
        <w:rPr>
          <w:rFonts w:hint="default" w:ascii="Times New Roman" w:hAnsi="Times New Roman" w:eastAsia="宋体" w:cs="Times New Roman"/>
          <w:color w:val="auto"/>
          <w:sz w:val="24"/>
          <w:szCs w:val="24"/>
          <w:lang w:eastAsia="zh-CN"/>
        </w:rPr>
        <w:t>山东聊和环保科技有限公司</w:t>
      </w:r>
      <w:r>
        <w:rPr>
          <w:rFonts w:hint="default" w:ascii="Times New Roman" w:hAnsi="Times New Roman" w:eastAsia="宋体" w:cs="Times New Roman"/>
          <w:color w:val="auto"/>
          <w:sz w:val="24"/>
          <w:szCs w:val="24"/>
        </w:rPr>
        <w:t>）并特邀</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名技术专家（名单附后）组成。</w:t>
      </w:r>
    </w:p>
    <w:p>
      <w:pPr>
        <w:keepNext w:val="0"/>
        <w:keepLines w:val="0"/>
        <w:pageBreakBefore w:val="0"/>
        <w:tabs>
          <w:tab w:val="left" w:pos="220"/>
        </w:tabs>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验收组现场查阅并核实了本项目运营期环保工作落实情况，根据项目竣工环境保护验收监测报告并对照《建设项目环境保护管理条例》、《建设项目竣工环境保护验收暂行办法》，严格依照国家有关法律法规、建设项目竣工环境保护验收技术规范、本项目环境影响评价报告表和审批部门审批决定等要求对本项目进行验收，经认真研究讨论形成环保验收意见，提出意见如下：</w:t>
      </w:r>
    </w:p>
    <w:p>
      <w:pPr>
        <w:keepNext w:val="0"/>
        <w:keepLines w:val="0"/>
        <w:pageBreakBefore w:val="0"/>
        <w:tabs>
          <w:tab w:val="left" w:pos="220"/>
        </w:tabs>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一、工程建设基本情况</w:t>
      </w:r>
    </w:p>
    <w:p>
      <w:pPr>
        <w:keepNext w:val="0"/>
        <w:keepLines w:val="0"/>
        <w:pageBreakBefore w:val="0"/>
        <w:tabs>
          <w:tab w:val="left" w:pos="220"/>
        </w:tabs>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（一）建设地点、规模、主要建设内容</w:t>
      </w:r>
    </w:p>
    <w:p>
      <w:pPr>
        <w:pStyle w:val="3"/>
        <w:keepNext w:val="0"/>
        <w:keepLines w:val="0"/>
        <w:pageBreakBefore w:val="0"/>
        <w:numPr>
          <w:ilvl w:val="0"/>
          <w:numId w:val="0"/>
        </w:numPr>
        <w:kinsoku/>
        <w:wordWrap/>
        <w:overflowPunct/>
        <w:topLinePunct w:val="0"/>
        <w:autoSpaceDE/>
        <w:autoSpaceDN/>
        <w:bidi w:val="0"/>
        <w:adjustRightInd w:val="0"/>
        <w:snapToGrid w:val="0"/>
        <w:spacing w:line="360" w:lineRule="auto"/>
        <w:ind w:left="233" w:leftChars="111" w:firstLine="518" w:firstLineChars="216"/>
        <w:jc w:val="both"/>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东阿县锦彩新材料有限公司位于东阿经济开发区香江路西东阿县新航汽车部件有限公司院内，项目</w:t>
      </w:r>
      <w:r>
        <w:rPr>
          <w:rFonts w:hint="eastAsia" w:cs="Times New Roman"/>
          <w:color w:val="auto"/>
          <w:sz w:val="24"/>
          <w:szCs w:val="24"/>
          <w:lang w:eastAsia="zh-CN"/>
        </w:rPr>
        <w:t>预计</w:t>
      </w:r>
      <w:r>
        <w:rPr>
          <w:rFonts w:hint="default" w:ascii="Times New Roman" w:hAnsi="Times New Roman" w:cs="Times New Roman"/>
          <w:color w:val="auto"/>
          <w:sz w:val="24"/>
          <w:szCs w:val="24"/>
          <w:lang w:eastAsia="zh-CN"/>
        </w:rPr>
        <w:t>总投资5000万元，占地面积为11000平方米，车间、办公室总建筑面积9000平方米，购置数控剪切机、数控转塔冲床等设施设备共计28台（套），生产规模为年生产60万平方米铝单板。</w:t>
      </w:r>
    </w:p>
    <w:p>
      <w:pPr>
        <w:pStyle w:val="3"/>
        <w:keepNext w:val="0"/>
        <w:keepLines w:val="0"/>
        <w:pageBreakBefore w:val="0"/>
        <w:numPr>
          <w:ilvl w:val="0"/>
          <w:numId w:val="0"/>
        </w:numPr>
        <w:kinsoku/>
        <w:wordWrap/>
        <w:overflowPunct/>
        <w:topLinePunct w:val="0"/>
        <w:autoSpaceDE/>
        <w:autoSpaceDN/>
        <w:bidi w:val="0"/>
        <w:adjustRightInd w:val="0"/>
        <w:snapToGrid w:val="0"/>
        <w:spacing w:line="360" w:lineRule="auto"/>
        <w:ind w:left="233" w:leftChars="111" w:firstLine="518" w:firstLineChars="216"/>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eastAsia="zh-CN"/>
        </w:rPr>
        <w:t>由于企业资金问题，现实际投资</w:t>
      </w:r>
      <w:r>
        <w:rPr>
          <w:rFonts w:hint="default" w:ascii="Times New Roman" w:hAnsi="Times New Roman" w:cs="Times New Roman"/>
          <w:color w:val="auto"/>
          <w:sz w:val="24"/>
          <w:szCs w:val="24"/>
          <w:lang w:val="en-US" w:eastAsia="zh-CN"/>
        </w:rPr>
        <w:t>4000</w:t>
      </w:r>
      <w:r>
        <w:rPr>
          <w:rFonts w:hint="default" w:ascii="Times New Roman" w:hAnsi="Times New Roman" w:cs="Times New Roman"/>
          <w:color w:val="auto"/>
          <w:sz w:val="24"/>
          <w:szCs w:val="24"/>
          <w:lang w:eastAsia="zh-CN"/>
        </w:rPr>
        <w:t>万元，钣金加工设备实际购置数量比环评设计数量较少，项目分期验收，本次验收为一期，生产规模为年产60万平方米铝单板（年钣金加工</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eastAsia="zh-CN"/>
        </w:rPr>
        <w:t>0万平方米铝板，年外购</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eastAsia="zh-CN"/>
        </w:rPr>
        <w:t>0万平方米半成品铝板，年喷涂60万平方米铝单板）。</w:t>
      </w:r>
    </w:p>
    <w:p>
      <w:pPr>
        <w:keepNext w:val="0"/>
        <w:keepLines w:val="0"/>
        <w:pageBreakBefore w:val="0"/>
        <w:tabs>
          <w:tab w:val="left" w:pos="220"/>
        </w:tabs>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（二）环保审批情况</w:t>
      </w:r>
    </w:p>
    <w:p>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textAlignment w:val="auto"/>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2021年11月东阿县锦彩新材料有限公司委托山东锦航环保科技有限公司编制《东阿县锦彩新材料有限公司年产60万平方米铝单板项目环境影响报告书》，2022年5月23日通过东阿县行政审批服务局的批复（东行审环报告书〔2022〕2号）。</w:t>
      </w:r>
    </w:p>
    <w:p>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东阿县锦彩新材料有限公司2022年6月委托山东绿和环保咨询有限公司承担该项目一期的竣工环境保护验收监测工作，山东绿和环保咨询有限公司于2022年6月11日派技术人员进行了现场勘查和资料搜集，编制了验收监测实施方案，并委托山东聊和环保科技有限公司于2022年11月10日-11日对该项目进行了竣工环保验收现场监测，根据现场监测和检查结果编制了本项目验收监测报告</w:t>
      </w: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br w:type="page"/>
      </w:r>
    </w:p>
    <w:p>
      <w:pPr>
        <w:keepNext w:val="0"/>
        <w:keepLines w:val="0"/>
        <w:pageBreakBefore w:val="0"/>
        <w:tabs>
          <w:tab w:val="left" w:pos="220"/>
        </w:tabs>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（三）投资情况</w:t>
      </w:r>
    </w:p>
    <w:p>
      <w:pPr>
        <w:keepNext w:val="0"/>
        <w:keepLines w:val="0"/>
        <w:pageBreakBefore w:val="0"/>
        <w:tabs>
          <w:tab w:val="left" w:pos="220"/>
        </w:tabs>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w:t>
      </w:r>
      <w:r>
        <w:rPr>
          <w:rFonts w:hint="default" w:ascii="Times New Roman" w:hAnsi="Times New Roman" w:cs="Times New Roman"/>
          <w:color w:val="auto"/>
          <w:sz w:val="24"/>
          <w:szCs w:val="24"/>
          <w:lang w:eastAsia="zh-CN"/>
        </w:rPr>
        <w:t>一期</w:t>
      </w:r>
      <w:r>
        <w:rPr>
          <w:rFonts w:hint="default" w:ascii="Times New Roman" w:hAnsi="Times New Roman" w:eastAsia="宋体" w:cs="Times New Roman"/>
          <w:color w:val="auto"/>
          <w:sz w:val="24"/>
          <w:szCs w:val="24"/>
        </w:rPr>
        <w:t>实际总投资</w:t>
      </w:r>
      <w:r>
        <w:rPr>
          <w:rFonts w:hint="default" w:ascii="Times New Roman" w:hAnsi="Times New Roman" w:cs="Times New Roman"/>
          <w:color w:val="auto"/>
          <w:sz w:val="24"/>
          <w:szCs w:val="24"/>
          <w:lang w:val="en-US" w:eastAsia="zh-CN"/>
        </w:rPr>
        <w:t>4000</w:t>
      </w:r>
      <w:r>
        <w:rPr>
          <w:rFonts w:hint="default" w:ascii="Times New Roman" w:hAnsi="Times New Roman" w:eastAsia="宋体" w:cs="Times New Roman"/>
          <w:color w:val="auto"/>
          <w:sz w:val="24"/>
          <w:szCs w:val="24"/>
          <w:lang w:val="en-US" w:eastAsia="zh-CN"/>
        </w:rPr>
        <w:t>万</w:t>
      </w:r>
      <w:r>
        <w:rPr>
          <w:rFonts w:hint="default" w:ascii="Times New Roman" w:hAnsi="Times New Roman" w:eastAsia="宋体" w:cs="Times New Roman"/>
          <w:color w:val="auto"/>
          <w:sz w:val="24"/>
          <w:szCs w:val="24"/>
        </w:rPr>
        <w:t>元，其中环保投资</w:t>
      </w:r>
      <w:r>
        <w:rPr>
          <w:rFonts w:hint="default" w:ascii="Times New Roman" w:hAnsi="Times New Roman" w:cs="Times New Roman"/>
          <w:color w:val="auto"/>
          <w:sz w:val="24"/>
          <w:szCs w:val="24"/>
          <w:lang w:val="en-US" w:eastAsia="zh-CN"/>
        </w:rPr>
        <w:t>280</w:t>
      </w:r>
      <w:r>
        <w:rPr>
          <w:rFonts w:hint="default" w:ascii="Times New Roman" w:hAnsi="Times New Roman" w:eastAsia="宋体" w:cs="Times New Roman"/>
          <w:color w:val="auto"/>
          <w:sz w:val="24"/>
          <w:szCs w:val="24"/>
        </w:rPr>
        <w:t>万元</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占总投资</w:t>
      </w:r>
      <w:r>
        <w:rPr>
          <w:rFonts w:hint="default" w:ascii="Times New Roman" w:hAnsi="Times New Roman" w:cs="Times New Roman"/>
          <w:color w:val="auto"/>
          <w:sz w:val="24"/>
          <w:szCs w:val="24"/>
          <w:lang w:val="en-US" w:eastAsia="zh-CN"/>
        </w:rPr>
        <w:t>7</w:t>
      </w:r>
      <w:r>
        <w:rPr>
          <w:rFonts w:hint="default" w:ascii="Times New Roman" w:hAnsi="Times New Roman" w:eastAsia="宋体" w:cs="Times New Roman"/>
          <w:color w:val="auto"/>
          <w:sz w:val="24"/>
          <w:szCs w:val="24"/>
        </w:rPr>
        <w:t>％。</w:t>
      </w:r>
    </w:p>
    <w:p>
      <w:pPr>
        <w:keepNext w:val="0"/>
        <w:keepLines w:val="0"/>
        <w:pageBreakBefore w:val="0"/>
        <w:tabs>
          <w:tab w:val="left" w:pos="220"/>
        </w:tabs>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（四）验收范围</w:t>
      </w:r>
    </w:p>
    <w:p>
      <w:pPr>
        <w:keepNext w:val="0"/>
        <w:keepLines w:val="0"/>
        <w:pageBreakBefore w:val="0"/>
        <w:tabs>
          <w:tab w:val="left" w:pos="220"/>
        </w:tabs>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本次验收</w:t>
      </w:r>
      <w:r>
        <w:rPr>
          <w:rFonts w:hint="default" w:ascii="Times New Roman" w:hAnsi="Times New Roman" w:cs="Times New Roman"/>
          <w:color w:val="auto"/>
          <w:sz w:val="24"/>
          <w:szCs w:val="24"/>
          <w:lang w:eastAsia="zh-CN"/>
        </w:rPr>
        <w:t>一期</w:t>
      </w:r>
      <w:r>
        <w:rPr>
          <w:rFonts w:hint="default" w:ascii="Times New Roman" w:hAnsi="Times New Roman" w:eastAsia="宋体" w:cs="Times New Roman"/>
          <w:color w:val="auto"/>
          <w:sz w:val="24"/>
          <w:szCs w:val="24"/>
        </w:rPr>
        <w:t>的范围为年钣金加工</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rPr>
        <w:t>0万平方米铝板</w:t>
      </w:r>
      <w:r>
        <w:rPr>
          <w:rFonts w:hint="default" w:ascii="Times New Roman" w:hAnsi="Times New Roman" w:cs="Times New Roman"/>
          <w:color w:val="auto"/>
          <w:sz w:val="24"/>
          <w:szCs w:val="24"/>
          <w:lang w:eastAsia="zh-CN"/>
        </w:rPr>
        <w:t>及</w:t>
      </w:r>
      <w:r>
        <w:rPr>
          <w:rFonts w:hint="default" w:ascii="Times New Roman" w:hAnsi="Times New Roman" w:eastAsia="宋体" w:cs="Times New Roman"/>
          <w:color w:val="auto"/>
          <w:sz w:val="24"/>
          <w:szCs w:val="24"/>
        </w:rPr>
        <w:t>年喷涂60万平方米铝单板</w:t>
      </w:r>
      <w:r>
        <w:rPr>
          <w:rFonts w:hint="default" w:ascii="Times New Roman" w:hAnsi="Times New Roman" w:eastAsia="宋体" w:cs="Times New Roman"/>
          <w:color w:val="auto"/>
          <w:sz w:val="24"/>
          <w:szCs w:val="24"/>
          <w:lang w:val="en-US" w:eastAsia="zh-CN"/>
        </w:rPr>
        <w:t>生产设备</w:t>
      </w:r>
      <w:r>
        <w:rPr>
          <w:rFonts w:hint="default" w:ascii="Times New Roman" w:hAnsi="Times New Roman" w:eastAsia="宋体" w:cs="Times New Roman"/>
          <w:color w:val="auto"/>
          <w:sz w:val="24"/>
          <w:szCs w:val="24"/>
        </w:rPr>
        <w:t>及其配套环保设施。</w:t>
      </w:r>
    </w:p>
    <w:p>
      <w:pPr>
        <w:keepNext w:val="0"/>
        <w:keepLines w:val="0"/>
        <w:pageBreakBefore w:val="0"/>
        <w:tabs>
          <w:tab w:val="left" w:pos="220"/>
        </w:tabs>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二、工程变更情况</w:t>
      </w:r>
    </w:p>
    <w:p>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通过现场调查，对照环评报告及审批意见：</w:t>
      </w:r>
    </w:p>
    <w:p>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由于企业资金问题，现实际投资4000万元，钣金加工设备实际购置数量比环评设计数量较少，生产规模为年产60万平方米铝单板（年钣金加工30万平方米铝板，年外购30万平方米半成品铝板，年喷涂60万平方米铝单板），项目分期验收，本次验收为一期。</w:t>
      </w:r>
    </w:p>
    <w:p>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②环保设施情况：</w:t>
      </w:r>
    </w:p>
    <w:p>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环评设计干燥废气经收集后由一根15米高的排气筒（DA003）排放，调漆、喷漆、流平、烘干废气经收集通过水幕帘喷淋装置+“脱附-吸附”装置+1套催化燃烧装置处理后由一根15米高的排气筒（DA004）排放。实际建设干燥、烘干工序产生的废气收集后通过“脱附-吸附”装置+催化燃烧装置处理后经一根15m高排气筒DA003排放，调漆、喷漆、流平工序及危废间废气收集后通过水幕帘喷淋装置+“脱附-吸附”装置+催化燃烧装置处理后经一根15m高排气筒DA004排放。实际建设增设并优化了废气处理设施，主动将危废间废气由无组织排放优化为由管道收集后进行有组织排放。 </w:t>
      </w:r>
    </w:p>
    <w:p>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根据《关于印发污染影响类建设项目重大变动清单（试行）的通知》环办环评函〔2020〕688号，本项目以上变动不涉及重大变动</w:t>
      </w:r>
      <w:r>
        <w:rPr>
          <w:rFonts w:hint="default" w:ascii="Times New Roman" w:hAnsi="Times New Roman" w:eastAsia="宋体" w:cs="Times New Roman"/>
          <w:color w:val="auto"/>
          <w:sz w:val="24"/>
          <w:szCs w:val="24"/>
        </w:rPr>
        <w:t>。</w:t>
      </w:r>
    </w:p>
    <w:p>
      <w:pPr>
        <w:pStyle w:val="15"/>
        <w:keepNext w:val="0"/>
        <w:keepLines w:val="0"/>
        <w:pageBreakBefore w:val="0"/>
        <w:numPr>
          <w:ilvl w:val="0"/>
          <w:numId w:val="1"/>
        </w:numPr>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环境保护设施落实情况</w:t>
      </w:r>
    </w:p>
    <w:p>
      <w:pPr>
        <w:keepNext w:val="0"/>
        <w:keepLines w:val="0"/>
        <w:pageBreakBefore w:val="0"/>
        <w:widowControl/>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（一）废水污染源及其治理措施</w:t>
      </w:r>
    </w:p>
    <w:p>
      <w:pPr>
        <w:keepNext w:val="0"/>
        <w:keepLines w:val="0"/>
        <w:pageBreakBefore w:val="0"/>
        <w:widowControl/>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本项目废水主要为预脱脂废水、脱脂废水、水洗及清洗直喷废水、纯水制备废水、漆雾净化废水、酸雾净化废水、生活废水。</w:t>
      </w:r>
    </w:p>
    <w:p>
      <w:pPr>
        <w:keepNext w:val="0"/>
        <w:keepLines w:val="0"/>
        <w:pageBreakBefore w:val="0"/>
        <w:widowControl/>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预脱脂废水、脱脂废水、水洗及清洗直喷废水、纯水制备废水、漆雾净化废水、酸雾净化废水经厂区污水处理站处理后同生活污水经市政管网进入东阿县康达水务有限公司深度处理。</w:t>
      </w:r>
    </w:p>
    <w:p>
      <w:pPr>
        <w:keepNext w:val="0"/>
        <w:keepLines w:val="0"/>
        <w:pageBreakBefore w:val="0"/>
        <w:widowControl/>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（二）废气污染源及其治理措施</w:t>
      </w:r>
    </w:p>
    <w:p>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cs="Times New Roman"/>
          <w:snapToGrid w:val="0"/>
          <w:color w:val="auto"/>
          <w:kern w:val="0"/>
          <w:sz w:val="24"/>
          <w:szCs w:val="24"/>
          <w:lang w:val="en-US" w:eastAsia="zh-CN"/>
        </w:rPr>
        <w:t>本</w:t>
      </w:r>
      <w:r>
        <w:rPr>
          <w:rFonts w:hint="default" w:ascii="Times New Roman" w:hAnsi="Times New Roman" w:eastAsia="宋体" w:cs="Times New Roman"/>
          <w:snapToGrid w:val="0"/>
          <w:color w:val="auto"/>
          <w:kern w:val="0"/>
          <w:sz w:val="24"/>
          <w:szCs w:val="24"/>
          <w:lang w:val="en-US" w:eastAsia="zh-CN"/>
        </w:rPr>
        <w:t>项目焊接工序和打磨固定工位，并配备软帘，由集气罩收集后通过管道输送至脉冲式布袋除尘器处理，处理后经过15m高排气筒DA001排放。铝单板前处理工序中脱脂和钝化时均产生酸雾。脱脂槽、钝化槽安装侧吸抽风装置，酸雾收集后经1套酸雾吸收塔处理后由1根15m高排气筒DA002排放。钝化槽安装侧吸抽风装置，收集后经1套酸雾吸收塔处理后由1根15m高排气筒DA002排放。干燥、烘干工序产生的废气收集后通过“脱附-吸附”装置+催化燃烧装置处理后经1根15m高排气筒DA003排放。调漆、喷漆、流平工序及危废间废气收集后通过水幕帘喷淋装置+“脱附-吸附”装置+催化燃烧装置处理后经1根15m高排气筒DA004排放。喷粉工序产生的颗粒物收集后通过布袋除尘器处理，经1根15m高排气筒DA005排放。餐厅油烟经抽油烟机净化后通过高于所附建筑物顶1.5米高排气筒DA006排放。本项目未被收集到的废气通过车间通风后以无组织形式排放。</w:t>
      </w:r>
    </w:p>
    <w:p>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lang w:val="en-US" w:eastAsia="zh-CN"/>
        </w:rPr>
        <w:t>（三）噪声</w:t>
      </w:r>
    </w:p>
    <w:p>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snapToGrid w:val="0"/>
          <w:color w:val="auto"/>
          <w:kern w:val="0"/>
          <w:sz w:val="24"/>
          <w:szCs w:val="24"/>
          <w:lang w:val="en-US" w:eastAsia="zh-CN"/>
        </w:rPr>
      </w:pPr>
      <w:r>
        <w:rPr>
          <w:rFonts w:hint="default" w:ascii="Times New Roman" w:hAnsi="Times New Roman" w:cs="Times New Roman"/>
          <w:snapToGrid w:val="0"/>
          <w:color w:val="auto"/>
          <w:kern w:val="0"/>
          <w:sz w:val="24"/>
          <w:szCs w:val="24"/>
          <w:lang w:val="en-US" w:eastAsia="zh-CN"/>
        </w:rPr>
        <w:t>本项目的噪声源主要为冲床、折弯机、焊机、开槽机、雕刻机、喷枪、风机、水泵等机械设备，通过采取隔音、基础减振等降噪措施，降低对外环境的影响</w:t>
      </w:r>
      <w:r>
        <w:rPr>
          <w:rFonts w:hint="default" w:ascii="Times New Roman" w:hAnsi="Times New Roman" w:eastAsia="宋体" w:cs="Times New Roman"/>
          <w:snapToGrid w:val="0"/>
          <w:color w:val="auto"/>
          <w:kern w:val="0"/>
          <w:sz w:val="24"/>
          <w:szCs w:val="24"/>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（四）固体废物</w:t>
      </w: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本项目固体废物主要包括：开卷、下料、冲剪等过程中产生的下脚料，废焊条，铝末，原辅材料废包装，纯水制备废反渗透膜，废槽渣，钝化废槽液，漆渣，洗枪废有机溶剂，喷粉除尘器收集的粉尘，废脱脂剂桶，废钝化剂桶，废油桶，废机油，废润滑油，废液压油，生产废水处理污泥，废活性炭，废过滤棉，废催化剂，生活垃圾。</w:t>
      </w: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其中，开卷、下料、冲剪等过程中产生的下脚料，废焊条，铝末外售资源回收单位；原辅材料废包装外售废品回收站；喷粉除尘器收集的粉尘回用于喷粉工序；纯水制备废反渗透膜由反渗透设备厂家进行替换回收；生活垃圾委托环卫部门处置。废槽渣、钝化废槽液、漆渣、洗枪废有机溶剂、废脱脂剂桶，废钝化剂桶，废油桶，废机油，废润滑油，废液压油，生产废水处理污泥，废活性炭，废过滤棉，废催化剂属于危险废物，收集后暂存于危废暂存间，委托有危废处置资质的单位处理。</w:t>
      </w:r>
    </w:p>
    <w:p>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四、验收监测结果</w:t>
      </w:r>
    </w:p>
    <w:p>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（一）环保设施运行检测结果</w:t>
      </w:r>
    </w:p>
    <w:p>
      <w:pPr>
        <w:keepNext w:val="0"/>
        <w:keepLines w:val="0"/>
        <w:pageBreakBefore w:val="0"/>
        <w:widowControl/>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山东聊和环保科技有限公司</w:t>
      </w:r>
      <w:r>
        <w:rPr>
          <w:rFonts w:hint="default" w:ascii="Times New Roman" w:hAnsi="Times New Roman" w:eastAsia="宋体" w:cs="Times New Roman"/>
          <w:color w:val="auto"/>
          <w:sz w:val="24"/>
          <w:szCs w:val="24"/>
        </w:rPr>
        <w:t>出具的</w:t>
      </w:r>
      <w:r>
        <w:rPr>
          <w:rFonts w:hint="default" w:ascii="Times New Roman" w:hAnsi="Times New Roman" w:eastAsia="宋体" w:cs="Times New Roman"/>
          <w:b w:val="0"/>
          <w:bCs w:val="0"/>
          <w:color w:val="auto"/>
          <w:sz w:val="24"/>
          <w:szCs w:val="24"/>
        </w:rPr>
        <w:t>《</w:t>
      </w:r>
      <w:r>
        <w:rPr>
          <w:rFonts w:hint="default" w:ascii="Times New Roman" w:hAnsi="Times New Roman" w:cs="Times New Roman"/>
          <w:b w:val="0"/>
          <w:bCs w:val="0"/>
          <w:color w:val="auto"/>
          <w:sz w:val="24"/>
          <w:szCs w:val="24"/>
          <w:lang w:val="en-US" w:eastAsia="zh-CN"/>
        </w:rPr>
        <w:t>东阿县锦彩新材料有限公司年产60万平方米铝单板项目</w:t>
      </w:r>
      <w:r>
        <w:rPr>
          <w:rFonts w:hint="default" w:ascii="Times New Roman" w:hAnsi="Times New Roman" w:eastAsia="宋体" w:cs="Times New Roman"/>
          <w:color w:val="auto"/>
          <w:sz w:val="24"/>
          <w:szCs w:val="24"/>
        </w:rPr>
        <w:t>竣工环境保护验收监测报告》监测结果表明：</w:t>
      </w:r>
    </w:p>
    <w:p>
      <w:pPr>
        <w:keepNext w:val="0"/>
        <w:keepLines w:val="0"/>
        <w:pageBreakBefore w:val="0"/>
        <w:numPr>
          <w:ilvl w:val="0"/>
          <w:numId w:val="2"/>
        </w:numPr>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废水</w:t>
      </w:r>
    </w:p>
    <w:p>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color w:val="auto"/>
          <w:sz w:val="24"/>
          <w:szCs w:val="24"/>
          <w:lang w:val="en-US" w:eastAsia="zh-CN"/>
        </w:rPr>
        <w:t>验收监测期间，污水总排口废水2天监测中pH测定范围在7.3~7.5，化学需氧量、五日生化需氧量、氨氮、总磷、总氮、悬浮物、硫酸盐、石油类、氟化物、溶解性总固体最大值分别为13mg/L、3.4mg/L、0.637mg/L、0.06mg/L、2.33mg/L、12mg/L、392mg/L、0.10mg/L、9.52mg/L、1.31×10</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mg/L，均符合《污水排入城镇下水道水质标准》（GB/T31962-2015）B等级标准及东阿县康达水务有限公司进水水质要求。</w:t>
      </w:r>
    </w:p>
    <w:p>
      <w:pPr>
        <w:keepNext w:val="0"/>
        <w:keepLines w:val="0"/>
        <w:pageBreakBefore w:val="0"/>
        <w:numPr>
          <w:ilvl w:val="0"/>
          <w:numId w:val="3"/>
        </w:numPr>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废气</w:t>
      </w:r>
    </w:p>
    <w:p>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rPr>
        <w:t>验收监测期间，全厂有组织排放的污染物中有组织颗粒物排放满足《区域性大气污染物综合排放标准》（DB37/2376-2019）表1“一般控制区”标准、《大气污染物综合排放标准》（GB16297-1996）表2排放速率限值；有组织硫酸雾、氟化物排放满足《大气污染物综合排放标准》（GB16297-1996）表2中相关排放限值；干燥、烘干废气中有组织颗粒物、S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、NOx排放满足《关于京津冀大气污染传输通道城市执行大气污染物特别排放限值的公告》、《锅炉大气污染物排放标准》（DB 37/2374-2018）表2、《关于对天然气锅炉低氮燃烧改造的有关要求予以修正的通知》（聊环函[2018]224号）要求；有组织苯、甲苯、二甲苯、VOCs排放满足《挥发性有机物排放标准 第5部分：表面涂装行业》（DB 37/ 2801.5-2018）表2“金属制品业”；有组织饮食油烟排放满足《山东省饮食业油烟排放标准》（DB37/597-2006）小型；无组织颗粒物、二氧化硫、氮氧化物、硫酸雾、氟化物满足《大气污染物综合排放标准》（GB16297-1996）表2中相关排放限值；无组织苯、甲苯、二甲苯及VOCs均满足《挥发性有机物排放标准 第5部分：表面涂装行业》（DB 37/ 2801.5-2018）表3中相关排放限值。</w:t>
      </w:r>
    </w:p>
    <w:p>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 噪声</w:t>
      </w:r>
    </w:p>
    <w:p>
      <w:pPr>
        <w:keepNext w:val="0"/>
        <w:keepLines w:val="0"/>
        <w:pageBreakBefore w:val="0"/>
        <w:kinsoku/>
        <w:wordWrap/>
        <w:overflowPunct/>
        <w:topLinePunct w:val="0"/>
        <w:autoSpaceDE/>
        <w:autoSpaceDN/>
        <w:bidi w:val="0"/>
        <w:adjustRightInd w:val="0"/>
        <w:snapToGrid w:val="0"/>
        <w:spacing w:line="360" w:lineRule="auto"/>
        <w:ind w:left="216" w:leftChars="103"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验收监测期间，西、南厂界昼间噪声测定值在55.4dB~58.2dB之间，厂界昼间噪声测定值满足《工业企业厂界环境噪声排放标准》（GB 12348-2008）3类标准要求。</w:t>
      </w:r>
    </w:p>
    <w:p>
      <w:pPr>
        <w:keepNext w:val="0"/>
        <w:keepLines w:val="0"/>
        <w:pageBreakBefore w:val="0"/>
        <w:numPr>
          <w:ilvl w:val="0"/>
          <w:numId w:val="4"/>
        </w:numPr>
        <w:kinsoku/>
        <w:wordWrap/>
        <w:overflowPunct/>
        <w:topLinePunct w:val="0"/>
        <w:autoSpaceDE/>
        <w:autoSpaceDN/>
        <w:bidi w:val="0"/>
        <w:adjustRightInd w:val="0"/>
        <w:snapToGrid w:val="0"/>
        <w:spacing w:line="360" w:lineRule="auto"/>
        <w:ind w:left="233" w:leftChars="111" w:firstLine="518" w:firstLineChars="216"/>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固体废物</w:t>
      </w:r>
    </w:p>
    <w:p>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val="zh-CN" w:eastAsia="zh-CN"/>
        </w:rPr>
        <w:t>同上文三、（四）</w:t>
      </w:r>
      <w:r>
        <w:rPr>
          <w:rFonts w:hint="default" w:ascii="Times New Roman" w:hAnsi="Times New Roman" w:cs="Times New Roman"/>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textAlignment w:val="auto"/>
        <w:rPr>
          <w:rFonts w:hint="default" w:ascii="Times New Roman" w:hAnsi="Times New Roman" w:cs="Times New Roman"/>
          <w:color w:val="auto"/>
          <w:sz w:val="24"/>
          <w:szCs w:val="24"/>
          <w:lang w:val="zh-CN" w:eastAsia="zh-CN"/>
        </w:rPr>
      </w:pPr>
      <w:r>
        <w:rPr>
          <w:rFonts w:hint="default" w:ascii="Times New Roman" w:hAnsi="Times New Roman" w:cs="Times New Roman"/>
          <w:color w:val="auto"/>
          <w:sz w:val="24"/>
          <w:szCs w:val="24"/>
          <w:lang w:val="zh-CN" w:eastAsia="zh-CN"/>
        </w:rPr>
        <w:t>（二）环境管理调查</w:t>
      </w:r>
    </w:p>
    <w:p>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东阿县锦彩新材料有限公司</w:t>
      </w:r>
      <w:r>
        <w:rPr>
          <w:rFonts w:hint="default" w:ascii="Times New Roman" w:hAnsi="Times New Roman" w:eastAsia="宋体" w:cs="Times New Roman"/>
          <w:color w:val="auto"/>
          <w:sz w:val="24"/>
          <w:szCs w:val="24"/>
        </w:rPr>
        <w:t>制定了《</w:t>
      </w:r>
      <w:r>
        <w:rPr>
          <w:rFonts w:hint="default" w:ascii="Times New Roman" w:hAnsi="Times New Roman" w:cs="Times New Roman"/>
          <w:color w:val="auto"/>
          <w:sz w:val="24"/>
          <w:szCs w:val="24"/>
          <w:lang w:eastAsia="zh-CN"/>
        </w:rPr>
        <w:t>东阿县锦彩新材料有限公司</w:t>
      </w:r>
      <w:r>
        <w:rPr>
          <w:rFonts w:hint="default" w:ascii="Times New Roman" w:hAnsi="Times New Roman" w:eastAsia="宋体" w:cs="Times New Roman"/>
          <w:color w:val="auto"/>
          <w:sz w:val="24"/>
          <w:szCs w:val="24"/>
        </w:rPr>
        <w:t>环保管理制度》</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并设立了相关机构。日常工作由</w:t>
      </w:r>
      <w:r>
        <w:rPr>
          <w:rFonts w:hint="default" w:ascii="Times New Roman" w:hAnsi="Times New Roman" w:eastAsia="宋体" w:cs="Times New Roman"/>
          <w:color w:val="auto"/>
          <w:sz w:val="24"/>
          <w:szCs w:val="24"/>
          <w:lang w:eastAsia="zh-CN"/>
        </w:rPr>
        <w:t>办公室</w:t>
      </w:r>
      <w:r>
        <w:rPr>
          <w:rFonts w:hint="default" w:ascii="Times New Roman" w:hAnsi="Times New Roman" w:eastAsia="宋体" w:cs="Times New Roman"/>
          <w:color w:val="auto"/>
          <w:sz w:val="24"/>
          <w:szCs w:val="24"/>
        </w:rPr>
        <w:t>管理，其主要职责是：行使公司环保工作的计划、组织、指挥、协调、检查和考核管理职能，日常一切工作须对公司负责。</w:t>
      </w:r>
    </w:p>
    <w:p>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五、专家意见：</w:t>
      </w:r>
    </w:p>
    <w:p>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在今后企业环保工作中，建议企业落实以下要求</w:t>
      </w:r>
      <w:r>
        <w:rPr>
          <w:rFonts w:hint="eastAsia" w:cs="Times New Roman"/>
          <w:color w:val="auto"/>
          <w:sz w:val="24"/>
          <w:szCs w:val="24"/>
          <w:lang w:eastAsia="zh-CN"/>
        </w:rPr>
        <w:t>：</w:t>
      </w:r>
    </w:p>
    <w:p>
      <w:pPr>
        <w:pStyle w:val="7"/>
        <w:keepNext w:val="0"/>
        <w:keepLines w:val="0"/>
        <w:pageBreakBefore w:val="0"/>
        <w:numPr>
          <w:ilvl w:val="0"/>
          <w:numId w:val="5"/>
        </w:numPr>
        <w:kinsoku/>
        <w:wordWrap/>
        <w:overflowPunct/>
        <w:topLinePunct w:val="0"/>
        <w:autoSpaceDE/>
        <w:autoSpaceDN/>
        <w:bidi w:val="0"/>
        <w:adjustRightInd w:val="0"/>
        <w:snapToGrid w:val="0"/>
        <w:spacing w:line="360" w:lineRule="auto"/>
        <w:ind w:left="233" w:leftChars="111" w:firstLine="518" w:firstLineChars="216"/>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加强焊接、打磨废气排气筒密闭</w:t>
      </w:r>
      <w:r>
        <w:rPr>
          <w:rFonts w:hint="eastAsia" w:ascii="Times New Roman" w:hAnsi="Times New Roman" w:cs="Times New Roman"/>
          <w:color w:val="auto"/>
          <w:sz w:val="24"/>
          <w:szCs w:val="24"/>
          <w:highlight w:val="none"/>
          <w:lang w:val="en-US" w:eastAsia="zh-CN"/>
        </w:rPr>
        <w:t>性</w:t>
      </w:r>
      <w:r>
        <w:rPr>
          <w:rFonts w:hint="default" w:ascii="Times New Roman" w:hAnsi="Times New Roman" w:cs="Times New Roman"/>
          <w:color w:val="auto"/>
          <w:sz w:val="24"/>
          <w:szCs w:val="24"/>
          <w:highlight w:val="none"/>
          <w:lang w:val="en-US" w:eastAsia="zh-CN"/>
        </w:rPr>
        <w:t>，定期检查废气收集设施的运行情况，确保废气有效收集和处理；</w:t>
      </w:r>
    </w:p>
    <w:p>
      <w:pPr>
        <w:pStyle w:val="7"/>
        <w:keepNext w:val="0"/>
        <w:keepLines w:val="0"/>
        <w:pageBreakBefore w:val="0"/>
        <w:numPr>
          <w:ilvl w:val="0"/>
          <w:numId w:val="5"/>
        </w:numPr>
        <w:kinsoku/>
        <w:wordWrap/>
        <w:overflowPunct/>
        <w:topLinePunct w:val="0"/>
        <w:autoSpaceDE/>
        <w:autoSpaceDN/>
        <w:bidi w:val="0"/>
        <w:adjustRightInd w:val="0"/>
        <w:snapToGrid w:val="0"/>
        <w:spacing w:line="360" w:lineRule="auto"/>
        <w:ind w:left="233" w:leftChars="111" w:firstLine="518" w:firstLineChars="216"/>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进一步规范危废暂存间，危废分类存放，完善管理制度和管理台账。严格按照《危险废物贮存污染控制标准》（GB18597-2001）及修改单要求，对产生的危险废物进行贮存和管理，并委托有资质的单位及时进行转移处置</w:t>
      </w:r>
      <w:r>
        <w:rPr>
          <w:rFonts w:hint="default" w:ascii="Times New Roman" w:hAnsi="Times New Roman" w:cs="Times New Roman"/>
          <w:color w:val="auto"/>
          <w:sz w:val="24"/>
          <w:szCs w:val="24"/>
          <w:highlight w:val="none"/>
          <w:lang w:val="en-US" w:eastAsia="zh-CN"/>
        </w:rPr>
        <w:t>；</w:t>
      </w:r>
    </w:p>
    <w:p>
      <w:pPr>
        <w:pStyle w:val="7"/>
        <w:keepNext w:val="0"/>
        <w:keepLines w:val="0"/>
        <w:pageBreakBefore w:val="0"/>
        <w:numPr>
          <w:ilvl w:val="0"/>
          <w:numId w:val="5"/>
        </w:numPr>
        <w:kinsoku/>
        <w:wordWrap/>
        <w:overflowPunct/>
        <w:topLinePunct w:val="0"/>
        <w:autoSpaceDE/>
        <w:autoSpaceDN/>
        <w:bidi w:val="0"/>
        <w:adjustRightInd w:val="0"/>
        <w:snapToGrid w:val="0"/>
        <w:spacing w:line="360" w:lineRule="auto"/>
        <w:ind w:left="233" w:leftChars="111" w:firstLine="518" w:firstLineChars="216"/>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lang w:eastAsia="zh-CN"/>
        </w:rPr>
        <w:t>待后续钣金加工设备购置完成后，须对项目进行二期验收</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六、</w:t>
      </w:r>
      <w:r>
        <w:rPr>
          <w:rFonts w:hint="default" w:ascii="Times New Roman" w:hAnsi="Times New Roman" w:eastAsia="宋体" w:cs="Times New Roman"/>
          <w:color w:val="auto"/>
          <w:sz w:val="24"/>
          <w:szCs w:val="24"/>
          <w:highlight w:val="none"/>
        </w:rPr>
        <w:t>验收结论</w:t>
      </w:r>
    </w:p>
    <w:p>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验收组一致认为该项目实施过程中按照环评及其批复要求落实了相关环保措施，环保手续齐全，建立了相应的环保管理制度，项目建设过程无重大变更。按环境影响报告表及审批要求建设了环境保护设施。验收监测各项指标满足国家相关排放标准。</w:t>
      </w:r>
    </w:p>
    <w:p>
      <w:pPr>
        <w:keepNext w:val="0"/>
        <w:keepLines w:val="0"/>
        <w:pageBreakBefore w:val="0"/>
        <w:tabs>
          <w:tab w:val="left" w:pos="5955"/>
          <w:tab w:val="left" w:pos="6095"/>
        </w:tabs>
        <w:kinsoku/>
        <w:wordWrap/>
        <w:overflowPunct/>
        <w:topLinePunct w:val="0"/>
        <w:autoSpaceDE/>
        <w:autoSpaceDN/>
        <w:bidi w:val="0"/>
        <w:adjustRightInd w:val="0"/>
        <w:snapToGrid w:val="0"/>
        <w:spacing w:line="360" w:lineRule="auto"/>
        <w:ind w:left="233" w:leftChars="111" w:firstLine="518" w:firstLineChars="216"/>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鉴于项目符合国家和地方相关产业标准及准入要求，用地符合当地规划，环保设施与生产配套，验收期间各项监测指标满足国家相关排放标准，该项目通过环保验收。</w:t>
      </w:r>
    </w:p>
    <w:p>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right"/>
        <w:textAlignment w:val="auto"/>
        <w:rPr>
          <w:rFonts w:hint="default" w:ascii="Times New Roman" w:hAnsi="Times New Roman" w:cs="Times New Roman"/>
          <w:color w:val="auto"/>
          <w:sz w:val="24"/>
          <w:szCs w:val="24"/>
          <w:highlight w:val="none"/>
          <w:lang w:eastAsia="zh-CN"/>
        </w:rPr>
      </w:pPr>
    </w:p>
    <w:p>
      <w:pPr>
        <w:keepNext w:val="0"/>
        <w:keepLines w:val="0"/>
        <w:pageBreakBefore w:val="0"/>
        <w:kinsoku/>
        <w:wordWrap/>
        <w:overflowPunct/>
        <w:topLinePunct w:val="0"/>
        <w:autoSpaceDE/>
        <w:autoSpaceDN/>
        <w:bidi w:val="0"/>
        <w:adjustRightInd w:val="0"/>
        <w:snapToGrid w:val="0"/>
        <w:spacing w:line="360" w:lineRule="auto"/>
        <w:ind w:left="233" w:leftChars="111" w:firstLine="518" w:firstLineChars="216"/>
        <w:jc w:val="right"/>
        <w:textAlignment w:val="auto"/>
        <w:rPr>
          <w:rFonts w:hint="default" w:ascii="Times New Roman" w:hAnsi="Times New Roman" w:cs="Times New Roman"/>
          <w:color w:val="auto"/>
          <w:sz w:val="24"/>
          <w:szCs w:val="24"/>
          <w:highlight w:val="none"/>
          <w:lang w:eastAsia="zh-CN"/>
        </w:rPr>
      </w:pPr>
    </w:p>
    <w:p>
      <w:pPr>
        <w:pStyle w:val="14"/>
        <w:rPr>
          <w:rFonts w:hint="default" w:ascii="Times New Roman" w:hAnsi="Times New Roman" w:cs="Times New Roman"/>
          <w:lang w:eastAsia="zh-CN"/>
        </w:rPr>
      </w:pPr>
    </w:p>
    <w:p>
      <w:pPr>
        <w:keepNext w:val="0"/>
        <w:keepLines w:val="0"/>
        <w:pageBreakBefore w:val="0"/>
        <w:kinsoku/>
        <w:wordWrap/>
        <w:overflowPunct/>
        <w:topLinePunct w:val="0"/>
        <w:autoSpaceDE/>
        <w:autoSpaceDN/>
        <w:bidi w:val="0"/>
        <w:adjustRightInd w:val="0"/>
        <w:snapToGrid w:val="0"/>
        <w:spacing w:line="360" w:lineRule="auto"/>
        <w:ind w:left="233" w:leftChars="111" w:firstLine="520" w:firstLineChars="216"/>
        <w:jc w:val="righ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cs="Times New Roman"/>
          <w:b/>
          <w:bCs/>
          <w:color w:val="auto"/>
          <w:sz w:val="24"/>
          <w:szCs w:val="24"/>
          <w:highlight w:val="none"/>
          <w:lang w:eastAsia="zh-CN"/>
        </w:rPr>
        <w:t>东阿县锦彩新材料有限公司</w:t>
      </w:r>
      <w:r>
        <w:rPr>
          <w:rFonts w:hint="default" w:ascii="Times New Roman" w:hAnsi="Times New Roman" w:eastAsia="宋体" w:cs="Times New Roman"/>
          <w:b/>
          <w:bCs/>
          <w:color w:val="auto"/>
          <w:sz w:val="24"/>
          <w:szCs w:val="24"/>
          <w:highlight w:val="none"/>
        </w:rPr>
        <w:t>验收组</w:t>
      </w:r>
    </w:p>
    <w:p>
      <w:pPr>
        <w:pStyle w:val="2"/>
        <w:jc w:val="right"/>
        <w:rPr>
          <w:rFonts w:hint="default" w:ascii="Times New Roman" w:hAnsi="Times New Roman" w:cs="Times New Roman"/>
          <w:lang w:eastAsia="zh-CN"/>
        </w:rPr>
      </w:pPr>
      <w:r>
        <w:rPr>
          <w:rFonts w:hint="default" w:ascii="Times New Roman" w:hAnsi="Times New Roman" w:cs="Times New Roman"/>
          <w:b/>
          <w:bCs/>
          <w:color w:val="auto"/>
          <w:sz w:val="24"/>
          <w:szCs w:val="24"/>
          <w:highlight w:val="none"/>
          <w:lang w:eastAsia="zh-CN"/>
        </w:rPr>
        <w:t>2022年12月10日</w:t>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2F051"/>
    <w:multiLevelType w:val="singleLevel"/>
    <w:tmpl w:val="A1F2F051"/>
    <w:lvl w:ilvl="0" w:tentative="0">
      <w:start w:val="1"/>
      <w:numFmt w:val="decimal"/>
      <w:suff w:val="nothing"/>
      <w:lvlText w:val="%1、"/>
      <w:lvlJc w:val="left"/>
      <w:pPr>
        <w:ind w:left="560" w:leftChars="0" w:firstLine="0" w:firstLineChars="0"/>
      </w:pPr>
    </w:lvl>
  </w:abstractNum>
  <w:abstractNum w:abstractNumId="1">
    <w:nsid w:val="C65E2C2C"/>
    <w:multiLevelType w:val="singleLevel"/>
    <w:tmpl w:val="C65E2C2C"/>
    <w:lvl w:ilvl="0" w:tentative="0">
      <w:start w:val="4"/>
      <w:numFmt w:val="decimal"/>
      <w:suff w:val="space"/>
      <w:lvlText w:val="%1."/>
      <w:lvlJc w:val="left"/>
    </w:lvl>
  </w:abstractNum>
  <w:abstractNum w:abstractNumId="2">
    <w:nsid w:val="EC370676"/>
    <w:multiLevelType w:val="singleLevel"/>
    <w:tmpl w:val="EC370676"/>
    <w:lvl w:ilvl="0" w:tentative="0">
      <w:start w:val="1"/>
      <w:numFmt w:val="decimal"/>
      <w:suff w:val="space"/>
      <w:lvlText w:val="%1."/>
      <w:lvlJc w:val="left"/>
    </w:lvl>
  </w:abstractNum>
  <w:abstractNum w:abstractNumId="3">
    <w:nsid w:val="25DA57D9"/>
    <w:multiLevelType w:val="multilevel"/>
    <w:tmpl w:val="25DA57D9"/>
    <w:lvl w:ilvl="0" w:tentative="0">
      <w:start w:val="3"/>
      <w:numFmt w:val="japaneseCounting"/>
      <w:lvlText w:val="%1、"/>
      <w:lvlJc w:val="left"/>
      <w:pPr>
        <w:ind w:left="1280" w:hanging="720"/>
      </w:pPr>
      <w:rPr>
        <w:rFonts w:hint="default"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4">
    <w:nsid w:val="4401761E"/>
    <w:multiLevelType w:val="singleLevel"/>
    <w:tmpl w:val="4401761E"/>
    <w:lvl w:ilvl="0" w:tentative="0">
      <w:start w:val="2"/>
      <w:numFmt w:val="decimal"/>
      <w:suff w:val="space"/>
      <w:lvlText w:val="%1."/>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MmQyNTFkOTFmY2M3Y2Q3YzEzYmZlMzM2ZWU0M2EifQ=="/>
  </w:docVars>
  <w:rsids>
    <w:rsidRoot w:val="00000000"/>
    <w:rsid w:val="01A67464"/>
    <w:rsid w:val="02E1230E"/>
    <w:rsid w:val="0363342C"/>
    <w:rsid w:val="0400088B"/>
    <w:rsid w:val="07024930"/>
    <w:rsid w:val="0705220E"/>
    <w:rsid w:val="071B7388"/>
    <w:rsid w:val="07944DAE"/>
    <w:rsid w:val="07D23E1C"/>
    <w:rsid w:val="0A775B6C"/>
    <w:rsid w:val="0BB105F9"/>
    <w:rsid w:val="0BCD78E3"/>
    <w:rsid w:val="0BD4352F"/>
    <w:rsid w:val="0C652C55"/>
    <w:rsid w:val="0D002E61"/>
    <w:rsid w:val="0E9F521D"/>
    <w:rsid w:val="0F753148"/>
    <w:rsid w:val="0FE85ED3"/>
    <w:rsid w:val="110D6D4E"/>
    <w:rsid w:val="126A6033"/>
    <w:rsid w:val="129B4442"/>
    <w:rsid w:val="13242E95"/>
    <w:rsid w:val="16330F17"/>
    <w:rsid w:val="17073D8B"/>
    <w:rsid w:val="188E6607"/>
    <w:rsid w:val="18D05E89"/>
    <w:rsid w:val="19BD6A9B"/>
    <w:rsid w:val="1A3F7DAE"/>
    <w:rsid w:val="1AAF6CA7"/>
    <w:rsid w:val="1B753DC5"/>
    <w:rsid w:val="1C1262AC"/>
    <w:rsid w:val="1DCD1CD5"/>
    <w:rsid w:val="1DD83AFD"/>
    <w:rsid w:val="1E9D1B02"/>
    <w:rsid w:val="20F95110"/>
    <w:rsid w:val="21E62141"/>
    <w:rsid w:val="23253252"/>
    <w:rsid w:val="24D37795"/>
    <w:rsid w:val="24DD3549"/>
    <w:rsid w:val="27420539"/>
    <w:rsid w:val="27776D4F"/>
    <w:rsid w:val="284C33EF"/>
    <w:rsid w:val="286B6E9D"/>
    <w:rsid w:val="2A636C42"/>
    <w:rsid w:val="2B1967AA"/>
    <w:rsid w:val="2BAC752B"/>
    <w:rsid w:val="2BD129D7"/>
    <w:rsid w:val="2BFB35B9"/>
    <w:rsid w:val="2C8345D6"/>
    <w:rsid w:val="2DE61E9D"/>
    <w:rsid w:val="2E594393"/>
    <w:rsid w:val="31572BC2"/>
    <w:rsid w:val="33E80446"/>
    <w:rsid w:val="35A21894"/>
    <w:rsid w:val="35CA7C00"/>
    <w:rsid w:val="371221B6"/>
    <w:rsid w:val="3B2962D5"/>
    <w:rsid w:val="3B9345B4"/>
    <w:rsid w:val="3C495586"/>
    <w:rsid w:val="3C614E95"/>
    <w:rsid w:val="3D216C63"/>
    <w:rsid w:val="3D481CA9"/>
    <w:rsid w:val="3D9A76CF"/>
    <w:rsid w:val="425A3055"/>
    <w:rsid w:val="42D02360"/>
    <w:rsid w:val="42ED0B8D"/>
    <w:rsid w:val="440B2C50"/>
    <w:rsid w:val="44486E48"/>
    <w:rsid w:val="45B12AB5"/>
    <w:rsid w:val="48B011CE"/>
    <w:rsid w:val="4BC32318"/>
    <w:rsid w:val="4C014C5B"/>
    <w:rsid w:val="4D966CB6"/>
    <w:rsid w:val="4ED8058F"/>
    <w:rsid w:val="4F527ED5"/>
    <w:rsid w:val="51603323"/>
    <w:rsid w:val="52082039"/>
    <w:rsid w:val="520B1012"/>
    <w:rsid w:val="537E6D51"/>
    <w:rsid w:val="54543AC0"/>
    <w:rsid w:val="556E616E"/>
    <w:rsid w:val="55B466E2"/>
    <w:rsid w:val="56DD1623"/>
    <w:rsid w:val="58D50062"/>
    <w:rsid w:val="5A252C10"/>
    <w:rsid w:val="5B994AD0"/>
    <w:rsid w:val="5BB97A85"/>
    <w:rsid w:val="5C705EEE"/>
    <w:rsid w:val="5CD21C9F"/>
    <w:rsid w:val="5D580A9C"/>
    <w:rsid w:val="5F0C4CFF"/>
    <w:rsid w:val="5F976D08"/>
    <w:rsid w:val="602776E2"/>
    <w:rsid w:val="602A22C2"/>
    <w:rsid w:val="62D0451F"/>
    <w:rsid w:val="631C28B8"/>
    <w:rsid w:val="64C4763E"/>
    <w:rsid w:val="65826A80"/>
    <w:rsid w:val="66FB5067"/>
    <w:rsid w:val="68930363"/>
    <w:rsid w:val="69571AC0"/>
    <w:rsid w:val="69BB0050"/>
    <w:rsid w:val="6A4209DB"/>
    <w:rsid w:val="6ABA50EB"/>
    <w:rsid w:val="6B8F0525"/>
    <w:rsid w:val="6DEB0CC4"/>
    <w:rsid w:val="6E620EC2"/>
    <w:rsid w:val="72964393"/>
    <w:rsid w:val="72C90F73"/>
    <w:rsid w:val="73223BF6"/>
    <w:rsid w:val="73E11EE4"/>
    <w:rsid w:val="7593546D"/>
    <w:rsid w:val="75C3338A"/>
    <w:rsid w:val="76AB541C"/>
    <w:rsid w:val="76CF4204"/>
    <w:rsid w:val="77930543"/>
    <w:rsid w:val="79A0598C"/>
    <w:rsid w:val="7C9756A0"/>
    <w:rsid w:val="7D2A6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styleId="3">
    <w:name w:val="annotation text"/>
    <w:basedOn w:val="1"/>
    <w:semiHidden/>
    <w:unhideWhenUsed/>
    <w:qFormat/>
    <w:uiPriority w:val="99"/>
    <w:pPr>
      <w:jc w:val="left"/>
    </w:pPr>
  </w:style>
  <w:style w:type="paragraph" w:styleId="4">
    <w:name w:val="Body Text"/>
    <w:basedOn w:val="1"/>
    <w:next w:val="5"/>
    <w:qFormat/>
    <w:uiPriority w:val="0"/>
    <w:pPr>
      <w:spacing w:after="120"/>
    </w:pPr>
  </w:style>
  <w:style w:type="paragraph" w:styleId="5">
    <w:name w:val="Date"/>
    <w:basedOn w:val="1"/>
    <w:next w:val="1"/>
    <w:qFormat/>
    <w:uiPriority w:val="0"/>
    <w:pPr>
      <w:ind w:left="100" w:leftChars="2500"/>
    </w:pPr>
    <w:rPr>
      <w:rFonts w:ascii="宋体" w:hAnsi="宋体"/>
      <w:szCs w:val="24"/>
    </w:rPr>
  </w:style>
  <w:style w:type="paragraph" w:styleId="6">
    <w:name w:val="Block Text"/>
    <w:basedOn w:val="1"/>
    <w:semiHidden/>
    <w:unhideWhenUsed/>
    <w:qFormat/>
    <w:uiPriority w:val="99"/>
    <w:pPr>
      <w:adjustRightInd/>
      <w:ind w:left="525" w:leftChars="250" w:right="685" w:rightChars="326" w:firstLine="560"/>
      <w:jc w:val="both"/>
      <w:textAlignment w:val="auto"/>
    </w:pPr>
    <w:rPr>
      <w:sz w:val="28"/>
      <w:szCs w:val="24"/>
    </w:rPr>
  </w:style>
  <w:style w:type="paragraph" w:styleId="7">
    <w:name w:val="Plain Text"/>
    <w:basedOn w:val="1"/>
    <w:semiHidden/>
    <w:unhideWhenUsed/>
    <w:qFormat/>
    <w:uiPriority w:val="99"/>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4"/>
    <w:qFormat/>
    <w:uiPriority w:val="0"/>
    <w:pPr>
      <w:ind w:firstLine="420" w:firstLineChars="100"/>
    </w:pPr>
    <w:rPr>
      <w:szCs w:val="24"/>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li_正文"/>
    <w:basedOn w:val="1"/>
    <w:qFormat/>
    <w:uiPriority w:val="0"/>
    <w:pPr>
      <w:ind w:firstLine="200" w:firstLineChars="200"/>
      <w:jc w:val="left"/>
    </w:pPr>
    <w:rPr>
      <w:rFonts w:ascii="Calibri" w:hAnsi="Calibri" w:eastAsia="宋体" w:cs="Times New Roman"/>
      <w:sz w:val="28"/>
      <w:szCs w:val="2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3647</Words>
  <Characters>4031</Characters>
  <Lines>0</Lines>
  <Paragraphs>0</Paragraphs>
  <TotalTime>30</TotalTime>
  <ScaleCrop>false</ScaleCrop>
  <LinksUpToDate>false</LinksUpToDate>
  <CharactersWithSpaces>4042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不二橙。</cp:lastModifiedBy>
  <dcterms:modified xsi:type="dcterms:W3CDTF">2023-01-06T06:36:10Z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91DE6736D2534F9A9C16B610DAF8F981</vt:lpwstr>
  </property>
</Properties>
</file>