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20"/>
        </w:tabs>
        <w:spacing w:line="360" w:lineRule="auto"/>
        <w:ind w:left="218" w:leftChars="104" w:firstLine="0" w:firstLineChars="0"/>
        <w:jc w:val="center"/>
        <w:rPr>
          <w:rFonts w:hint="default" w:cs="Times New Roman"/>
          <w:b/>
          <w:color w:val="auto"/>
          <w:sz w:val="32"/>
          <w:szCs w:val="32"/>
          <w:lang w:val="en-US" w:eastAsia="zh-CN"/>
        </w:rPr>
      </w:pPr>
      <w:r>
        <w:rPr>
          <w:rFonts w:hint="eastAsia" w:cs="Times New Roman"/>
          <w:b/>
          <w:color w:val="auto"/>
          <w:sz w:val="32"/>
          <w:szCs w:val="32"/>
          <w:lang w:val="en-US" w:eastAsia="zh-CN"/>
        </w:rPr>
        <w:t>莘县生辉不锈钢制品有限公司年产300吨不锈钢船锚及配件扩建项目（一期）</w:t>
      </w:r>
      <w:r>
        <w:rPr>
          <w:rFonts w:hint="default" w:cs="Times New Roman"/>
          <w:b/>
          <w:color w:val="auto"/>
          <w:sz w:val="32"/>
          <w:szCs w:val="32"/>
          <w:lang w:val="en-US" w:eastAsia="zh-CN"/>
        </w:rPr>
        <w:t>竣工环境保护验收现场检查及验收工作组验收意见</w:t>
      </w:r>
    </w:p>
    <w:p>
      <w:pPr>
        <w:tabs>
          <w:tab w:val="left" w:pos="220"/>
        </w:tabs>
        <w:spacing w:line="240" w:lineRule="auto"/>
        <w:ind w:left="233" w:leftChars="111" w:firstLine="518" w:firstLineChars="216"/>
        <w:jc w:val="left"/>
        <w:rPr>
          <w:rFonts w:hint="default" w:ascii="Times New Roman" w:hAnsi="Times New Roman" w:eastAsia="宋体" w:cs="Times New Roman"/>
          <w:color w:val="auto"/>
          <w:sz w:val="24"/>
          <w:szCs w:val="24"/>
          <w:highlight w:val="none"/>
        </w:rPr>
      </w:pPr>
    </w:p>
    <w:p>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eastAsia" w:cs="Times New Roman"/>
          <w:color w:val="auto"/>
          <w:sz w:val="24"/>
          <w:szCs w:val="24"/>
          <w:highlight w:val="none"/>
          <w:lang w:eastAsia="zh-CN"/>
        </w:rPr>
        <w:t>2022年2月19日</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莘县生辉不锈钢制品有限公司</w:t>
      </w:r>
      <w:r>
        <w:rPr>
          <w:rFonts w:hint="default" w:ascii="Times New Roman" w:hAnsi="Times New Roman" w:eastAsia="宋体" w:cs="Times New Roman"/>
          <w:color w:val="auto"/>
          <w:sz w:val="24"/>
          <w:szCs w:val="24"/>
          <w:highlight w:val="none"/>
        </w:rPr>
        <w:t>组织召开</w:t>
      </w:r>
      <w:r>
        <w:rPr>
          <w:rFonts w:hint="eastAsia" w:cs="Times New Roman"/>
          <w:color w:val="auto"/>
          <w:sz w:val="24"/>
          <w:szCs w:val="24"/>
          <w:highlight w:val="none"/>
          <w:lang w:val="en-US" w:eastAsia="zh-CN"/>
        </w:rPr>
        <w:t>年产300吨不锈钢船锚及配件扩建项目（一期）</w:t>
      </w:r>
      <w:r>
        <w:rPr>
          <w:rFonts w:hint="default" w:ascii="Times New Roman" w:hAnsi="Times New Roman" w:eastAsia="宋体" w:cs="Times New Roman"/>
          <w:color w:val="auto"/>
          <w:sz w:val="24"/>
          <w:szCs w:val="24"/>
          <w:highlight w:val="none"/>
        </w:rPr>
        <w:t>竣</w:t>
      </w:r>
      <w:r>
        <w:rPr>
          <w:rFonts w:hint="default" w:ascii="Times New Roman" w:hAnsi="Times New Roman" w:eastAsia="宋体" w:cs="Times New Roman"/>
          <w:color w:val="auto"/>
          <w:sz w:val="24"/>
          <w:szCs w:val="24"/>
        </w:rPr>
        <w:t>工环境保护验收现场检查及验收及验收会。验收工作组由工程建设单位（</w:t>
      </w:r>
      <w:r>
        <w:rPr>
          <w:rFonts w:hint="eastAsia" w:cs="Times New Roman"/>
          <w:color w:val="auto"/>
          <w:sz w:val="24"/>
          <w:szCs w:val="24"/>
          <w:lang w:val="en-US" w:eastAsia="zh-CN"/>
        </w:rPr>
        <w:t>莘县生辉不锈钢制品有限公司</w:t>
      </w:r>
      <w:r>
        <w:rPr>
          <w:rFonts w:hint="default" w:ascii="Times New Roman" w:hAnsi="Times New Roman" w:eastAsia="宋体" w:cs="Times New Roman"/>
          <w:color w:val="auto"/>
          <w:sz w:val="24"/>
          <w:szCs w:val="24"/>
        </w:rPr>
        <w:t>）、</w:t>
      </w:r>
      <w:r>
        <w:rPr>
          <w:rFonts w:hint="eastAsia" w:cs="Times New Roman"/>
          <w:color w:val="auto"/>
          <w:sz w:val="24"/>
          <w:szCs w:val="24"/>
          <w:lang w:eastAsia="zh-CN"/>
        </w:rPr>
        <w:t>检测</w:t>
      </w:r>
      <w:r>
        <w:rPr>
          <w:rFonts w:hint="default" w:ascii="Times New Roman" w:hAnsi="Times New Roman" w:eastAsia="宋体" w:cs="Times New Roman"/>
          <w:color w:val="auto"/>
          <w:sz w:val="24"/>
          <w:szCs w:val="24"/>
        </w:rPr>
        <w:t>单位（</w:t>
      </w:r>
      <w:r>
        <w:rPr>
          <w:rFonts w:hint="default" w:ascii="Times New Roman" w:hAnsi="Times New Roman" w:eastAsia="宋体" w:cs="Times New Roman"/>
          <w:color w:val="auto"/>
          <w:sz w:val="24"/>
          <w:szCs w:val="24"/>
          <w:lang w:eastAsia="zh-CN"/>
        </w:rPr>
        <w:t>山东聊和环保科技有限公司</w:t>
      </w:r>
      <w:r>
        <w:rPr>
          <w:rFonts w:hint="default" w:ascii="Times New Roman" w:hAnsi="Times New Roman" w:eastAsia="宋体" w:cs="Times New Roman"/>
          <w:color w:val="auto"/>
          <w:sz w:val="24"/>
          <w:szCs w:val="24"/>
        </w:rPr>
        <w:t>）</w:t>
      </w:r>
      <w:r>
        <w:rPr>
          <w:rFonts w:hint="eastAsia" w:cs="Times New Roman"/>
          <w:color w:val="auto"/>
          <w:sz w:val="24"/>
          <w:szCs w:val="24"/>
          <w:lang w:eastAsia="zh-CN"/>
        </w:rPr>
        <w:t>、验收报告编制单位（山东绿和环保咨询有限公司）</w:t>
      </w:r>
      <w:r>
        <w:rPr>
          <w:rFonts w:hint="default" w:ascii="Times New Roman" w:hAnsi="Times New Roman" w:eastAsia="宋体" w:cs="Times New Roman"/>
          <w:color w:val="auto"/>
          <w:sz w:val="24"/>
          <w:szCs w:val="24"/>
        </w:rPr>
        <w:t>并特邀</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名技术专家（名单附后）组成。验收组现场查阅并核实了本项目运营期环保工作落实情况，根据项目竣工环境保护验收监测报告并对照《建设项目环境保护管理条例》、《建设项目竣工环境保护验收暂行办法》，严格依照国家有关法律法规、建设项目竣工环境保护验收技术规范、本项目环境影响评价报告表和审批部门审批决定等要求对本项目进行验收，经认真研究讨论形成环保验收意见，提出意见如下：</w:t>
      </w:r>
    </w:p>
    <w:p>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一、工程建设基本情况</w:t>
      </w:r>
    </w:p>
    <w:p>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（一）建设地点、规模、主要建设内容</w:t>
      </w:r>
    </w:p>
    <w:p>
      <w:pPr>
        <w:pStyle w:val="3"/>
        <w:numPr>
          <w:ilvl w:val="0"/>
          <w:numId w:val="0"/>
        </w:numPr>
        <w:spacing w:line="360" w:lineRule="auto"/>
        <w:ind w:left="233" w:leftChars="111" w:firstLine="518" w:firstLineChars="216"/>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莘县生辉不锈钢制品有限公司位于山东省聊城市莘县张鲁镇菜园村（莘张路南侧）。项目预计总投资500万元，占地面积3320m</w:t>
      </w:r>
      <w:r>
        <w:rPr>
          <w:rFonts w:hint="default" w:ascii="Times New Roman" w:hAnsi="Times New Roman" w:eastAsia="宋体" w:cs="Times New Roman"/>
          <w:color w:val="auto"/>
          <w:sz w:val="24"/>
          <w:szCs w:val="24"/>
          <w:vertAlign w:val="superscript"/>
          <w:lang w:eastAsia="zh-CN"/>
        </w:rPr>
        <w:t>2</w:t>
      </w:r>
      <w:r>
        <w:rPr>
          <w:rFonts w:hint="default" w:ascii="Times New Roman" w:hAnsi="Times New Roman" w:eastAsia="宋体" w:cs="Times New Roman"/>
          <w:color w:val="auto"/>
          <w:sz w:val="24"/>
          <w:szCs w:val="24"/>
          <w:lang w:eastAsia="zh-CN"/>
        </w:rPr>
        <w:t>，利用闲置车间建设年产300吨不锈钢船锚及配件扩建项目。由于企业资金问题，项目实际总投资300万元，购置设备较环评少一台激光切割机、一台折弯机、六台数控金属</w:t>
      </w:r>
      <w:r>
        <w:rPr>
          <w:rFonts w:hint="eastAsia" w:cs="Times New Roman"/>
          <w:color w:val="auto"/>
          <w:sz w:val="24"/>
          <w:szCs w:val="24"/>
          <w:lang w:eastAsia="zh-CN"/>
        </w:rPr>
        <w:t>切削</w:t>
      </w:r>
      <w:r>
        <w:rPr>
          <w:rFonts w:hint="default" w:ascii="Times New Roman" w:hAnsi="Times New Roman" w:eastAsia="宋体" w:cs="Times New Roman"/>
          <w:color w:val="auto"/>
          <w:sz w:val="24"/>
          <w:szCs w:val="24"/>
          <w:lang w:eastAsia="zh-CN"/>
        </w:rPr>
        <w:t>机床等，外购不锈钢板等原料，通过下料、加工、整形、焊接、抛光打磨等工序，生产规模可达年产150吨不锈钢船锚及配件，项目分期验收，本次验收为一期。</w:t>
      </w:r>
    </w:p>
    <w:p>
      <w:pPr>
        <w:tabs>
          <w:tab w:val="left" w:pos="220"/>
        </w:tabs>
        <w:spacing w:line="360" w:lineRule="auto"/>
        <w:ind w:left="233" w:leftChars="111" w:firstLine="518" w:firstLineChars="216"/>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（二）环保审批情况</w:t>
      </w:r>
    </w:p>
    <w:p>
      <w:pPr>
        <w:spacing w:line="360" w:lineRule="auto"/>
        <w:ind w:left="233" w:leftChars="111" w:firstLine="518" w:firstLineChars="216"/>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次验收为改扩建项目。2020年9月莘县生辉不锈钢制品有限公司委托山东省启达环保科技有限公司编制了《莘县生辉不锈钢制品有限公司年产300吨不锈钢船锚及配件扩建项目环境影响报告表》，2020年11月26日莘县行政审批服务局以莘行审报告表〔2020〕85号对其进行了审批。2021年10月公司委托山东绿和环保咨询有限公司进行本项目的环保验收工作，山东绿和环保咨询有限公司组织有关技术人员进行现场踏勘，依据监测技术规范制定了环保验收监测方案，并委托山东聊和环保科技有限公司于2022年01月17日-18日对该企业进行了项目检测，根据验收监测结果和现场检查情况，山东绿和环保咨询有限公司编制了本项目验收监测报告。</w:t>
      </w:r>
    </w:p>
    <w:p>
      <w:pPr>
        <w:tabs>
          <w:tab w:val="left" w:pos="220"/>
        </w:tabs>
        <w:spacing w:line="360" w:lineRule="auto"/>
        <w:ind w:left="233" w:leftChars="111" w:firstLine="518" w:firstLineChars="216"/>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（三）投资情况</w:t>
      </w:r>
    </w:p>
    <w:p>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w:t>
      </w:r>
      <w:r>
        <w:rPr>
          <w:rFonts w:hint="eastAsia" w:cs="Times New Roman"/>
          <w:color w:val="auto"/>
          <w:sz w:val="24"/>
          <w:szCs w:val="24"/>
          <w:lang w:eastAsia="zh-CN"/>
        </w:rPr>
        <w:t>一期</w:t>
      </w:r>
      <w:r>
        <w:rPr>
          <w:rFonts w:hint="default" w:ascii="Times New Roman" w:hAnsi="Times New Roman" w:eastAsia="宋体" w:cs="Times New Roman"/>
          <w:color w:val="auto"/>
          <w:sz w:val="24"/>
          <w:szCs w:val="24"/>
        </w:rPr>
        <w:t>实际总投资</w:t>
      </w:r>
      <w:r>
        <w:rPr>
          <w:rFonts w:hint="eastAsia" w:cs="Times New Roman"/>
          <w:color w:val="auto"/>
          <w:sz w:val="24"/>
          <w:szCs w:val="24"/>
          <w:lang w:val="en-US" w:eastAsia="zh-CN"/>
        </w:rPr>
        <w:t>300</w:t>
      </w:r>
      <w:r>
        <w:rPr>
          <w:rFonts w:hint="default" w:ascii="Times New Roman" w:hAnsi="Times New Roman" w:eastAsia="宋体" w:cs="Times New Roman"/>
          <w:color w:val="auto"/>
          <w:sz w:val="24"/>
          <w:szCs w:val="24"/>
          <w:lang w:val="en-US" w:eastAsia="zh-CN"/>
        </w:rPr>
        <w:t>万</w:t>
      </w:r>
      <w:r>
        <w:rPr>
          <w:rFonts w:hint="default" w:ascii="Times New Roman" w:hAnsi="Times New Roman" w:eastAsia="宋体" w:cs="Times New Roman"/>
          <w:color w:val="auto"/>
          <w:sz w:val="24"/>
          <w:szCs w:val="24"/>
        </w:rPr>
        <w:t>元，其中环保投资</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rPr>
        <w:t>万元</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占总投资</w:t>
      </w:r>
      <w:r>
        <w:rPr>
          <w:rFonts w:hint="eastAsia" w:cs="Times New Roman"/>
          <w:color w:val="auto"/>
          <w:sz w:val="24"/>
          <w:szCs w:val="24"/>
          <w:lang w:val="en-US" w:eastAsia="zh-CN"/>
        </w:rPr>
        <w:t>1.7</w:t>
      </w:r>
      <w:r>
        <w:rPr>
          <w:rFonts w:hint="default" w:ascii="Times New Roman" w:hAnsi="Times New Roman" w:eastAsia="宋体" w:cs="Times New Roman"/>
          <w:color w:val="auto"/>
          <w:sz w:val="24"/>
          <w:szCs w:val="24"/>
        </w:rPr>
        <w:t>％。</w:t>
      </w:r>
    </w:p>
    <w:p>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（四）验收范围</w:t>
      </w:r>
    </w:p>
    <w:p>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本次验收的范围为</w:t>
      </w:r>
      <w:r>
        <w:rPr>
          <w:rFonts w:hint="eastAsia" w:cs="Times New Roman"/>
          <w:color w:val="auto"/>
          <w:sz w:val="24"/>
          <w:szCs w:val="24"/>
          <w:lang w:val="en-US" w:eastAsia="zh-CN"/>
        </w:rPr>
        <w:t>年产150吨不锈钢船锚及配件</w:t>
      </w:r>
      <w:r>
        <w:rPr>
          <w:rFonts w:hint="default" w:ascii="Times New Roman" w:hAnsi="Times New Roman" w:eastAsia="宋体" w:cs="Times New Roman"/>
          <w:color w:val="auto"/>
          <w:sz w:val="24"/>
          <w:szCs w:val="24"/>
          <w:lang w:val="en-US" w:eastAsia="zh-CN"/>
        </w:rPr>
        <w:t>生产设备</w:t>
      </w:r>
      <w:r>
        <w:rPr>
          <w:rFonts w:hint="default" w:ascii="Times New Roman" w:hAnsi="Times New Roman" w:eastAsia="宋体" w:cs="Times New Roman"/>
          <w:color w:val="auto"/>
          <w:sz w:val="24"/>
          <w:szCs w:val="24"/>
        </w:rPr>
        <w:t>及其配套环保设施。</w:t>
      </w:r>
    </w:p>
    <w:p>
      <w:pPr>
        <w:tabs>
          <w:tab w:val="left" w:pos="220"/>
        </w:tabs>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二、工程变更情况</w:t>
      </w:r>
    </w:p>
    <w:p>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通过现场调查，对照环评报告及审批意见，由于企业资金问题，项目实际总投资300万元，购置设备较环评少一台激光切割机、一台折弯机、六台数控金属切削机床等，外购不锈钢板等原料，通过下料、加工、整形、焊接、抛光打磨等工序，生产规模可达年产150吨不锈钢船锚及配件，项目分期验收，本次验收为一期；实际设备较环评多一台雕刻机，使用雕刻机刻字时会产生部分金属屑，金属屑粒径较大，难以悬浮于空气中，一般于作业区周围迅速沉降，收集后外售；环评设计焊接工序产生的烟尘经焊烟净化器处理后有组织排放，实际经焊烟净化器处理后接袋式除尘器二次处理再进行有组织排放；环评设计激光切割工序产生的颗粒物无组织排放，实际由集气罩收集后经袋式除尘器处理后有组织排放。根据《关于印发污染影响类建设项目重大变动清单（试行）的通知》环办环评函〔2020〕688号，本项目性质、规模、地点、生产工艺以及环境保护措施均不涉及重大变动。</w:t>
      </w:r>
    </w:p>
    <w:p>
      <w:pPr>
        <w:pStyle w:val="16"/>
        <w:numPr>
          <w:ilvl w:val="0"/>
          <w:numId w:val="1"/>
        </w:num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环境保护设施落实情况</w:t>
      </w:r>
    </w:p>
    <w:p>
      <w:pPr>
        <w:widowControl/>
        <w:spacing w:line="360" w:lineRule="auto"/>
        <w:ind w:left="233" w:leftChars="111" w:firstLine="518" w:firstLineChars="216"/>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（一）废水污染源及其治理措施</w:t>
      </w:r>
    </w:p>
    <w:p>
      <w:pPr>
        <w:widowControl/>
        <w:spacing w:line="360" w:lineRule="auto"/>
        <w:ind w:left="233" w:leftChars="111" w:firstLine="518" w:firstLineChars="216"/>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本项目生产过程中数控金属切削机床需配套使用循环冷却水，全部损耗不外排；废水主要为超声波清洗废水，经厂内沉淀池处理后在厂区内洒水抑尘。</w:t>
      </w:r>
    </w:p>
    <w:p>
      <w:pPr>
        <w:widowControl/>
        <w:spacing w:line="360" w:lineRule="auto"/>
        <w:ind w:left="233" w:leftChars="111" w:firstLine="518" w:firstLineChars="216"/>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（二）废气污染源及其治理措施</w:t>
      </w:r>
    </w:p>
    <w:p>
      <w:pPr>
        <w:spacing w:line="360" w:lineRule="auto"/>
        <w:ind w:left="233" w:leftChars="111" w:firstLine="518" w:firstLineChars="216"/>
        <w:jc w:val="left"/>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本项目生产过程中产生的废气主要是切割颗粒物、焊接烟尘、抛光打磨颗粒物。</w:t>
      </w:r>
    </w:p>
    <w:p>
      <w:pPr>
        <w:spacing w:line="360" w:lineRule="auto"/>
        <w:ind w:left="233" w:leftChars="111" w:firstLine="518" w:firstLineChars="216"/>
        <w:jc w:val="left"/>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焊接工序产生的焊接烟尘由集气罩收集后经焊烟净化器处理后通过袋式除尘器二次处理，最后通过1根15m高排气筒（P1）排放；切割颗粒物、抛光打磨颗粒物由集气罩收集后经袋式除尘器处理后通过1根15m高排气筒（P1）排放。</w:t>
      </w:r>
    </w:p>
    <w:p>
      <w:pPr>
        <w:spacing w:line="360" w:lineRule="auto"/>
        <w:ind w:left="233" w:leftChars="111" w:firstLine="518" w:firstLineChars="216"/>
        <w:jc w:val="left"/>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未被收集的废气经车间通风后无组织排放。</w:t>
      </w:r>
    </w:p>
    <w:p>
      <w:pPr>
        <w:spacing w:line="360" w:lineRule="auto"/>
        <w:ind w:left="233" w:leftChars="111" w:firstLine="518" w:firstLineChars="216"/>
        <w:jc w:val="left"/>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本项目在使用雕刻机时会产生部分金属屑，金属屑粒径较大，难以悬浮于空气中，一般于作业区周围迅速沉降，收集后外售。</w:t>
      </w:r>
      <w:bookmarkStart w:id="0" w:name="_GoBack"/>
      <w:bookmarkEnd w:id="0"/>
    </w:p>
    <w:p>
      <w:pPr>
        <w:spacing w:line="360" w:lineRule="auto"/>
        <w:ind w:left="233" w:leftChars="111" w:firstLine="518" w:firstLineChars="216"/>
        <w:jc w:val="left"/>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（三）噪声</w:t>
      </w:r>
    </w:p>
    <w:p>
      <w:pPr>
        <w:spacing w:line="360" w:lineRule="auto"/>
        <w:ind w:left="233" w:leftChars="111" w:firstLine="518" w:firstLineChars="216"/>
        <w:jc w:val="left"/>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 xml:space="preserve">本项目主要噪声源设备为激光切割机、数控金属切削机床等设备运行时产生的噪声。通过基础减振、距离衰减等综合控制等措施，降低对外环境的影响。 </w:t>
      </w:r>
    </w:p>
    <w:p>
      <w:pPr>
        <w:spacing w:line="360" w:lineRule="auto"/>
        <w:ind w:left="233" w:leftChars="111" w:firstLine="518" w:firstLineChars="216"/>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（四）固体废物</w:t>
      </w:r>
    </w:p>
    <w:p>
      <w:pPr>
        <w:pStyle w:val="16"/>
        <w:numPr>
          <w:ilvl w:val="0"/>
          <w:numId w:val="0"/>
        </w:numPr>
        <w:spacing w:line="360" w:lineRule="auto"/>
        <w:ind w:left="233" w:leftChars="111" w:firstLine="518" w:firstLineChars="216"/>
        <w:jc w:val="left"/>
        <w:rPr>
          <w:rFonts w:hint="default" w:ascii="Times New Roman" w:hAnsi="Times New Roman" w:eastAsia="宋体" w:cs="Times New Roman"/>
          <w:snapToGrid w:val="0"/>
          <w:color w:val="auto"/>
          <w:kern w:val="0"/>
          <w:sz w:val="24"/>
          <w:szCs w:val="24"/>
          <w:lang w:val="en-US" w:eastAsia="zh-CN" w:bidi="ar-SA"/>
        </w:rPr>
      </w:pPr>
      <w:r>
        <w:rPr>
          <w:rFonts w:hint="eastAsia" w:cs="Times New Roman"/>
          <w:snapToGrid w:val="0"/>
          <w:color w:val="auto"/>
          <w:kern w:val="0"/>
          <w:sz w:val="24"/>
          <w:szCs w:val="24"/>
          <w:lang w:val="en-US" w:eastAsia="zh-CN" w:bidi="ar-SA"/>
        </w:rPr>
        <w:t>本项目固体废物主要为金属下脚料、金属屑、废包装材料、焊渣、不合格产品、废砂带、废布轮、废麻轮、除尘设备所得除尘灰、沉淀池沉渣、废润滑油、废润滑油桶、废攻丝油、废攻丝油桶、废切削液以及废切削液桶。其中金属下脚料、金属屑、废包装材料、焊渣、不合格产品均收集后外售；废砂带、废布轮、废麻轮、除尘设备所得除尘灰及沉淀池沉渣均定期由环卫部门清运。废润滑油属于危险废物（HW08 900-214-08），废攻丝油属于危险废物（HW08 900-249-08），废切削液属于危险废物（HW09 900-006-09），均委托有相关资质单位处理处置。未破损的废润滑油桶、废攻丝油桶、废切削液桶由厂家回收利用，若发现破损，无法修复、加工回用，则作为危险废物委托有相关资质单位处理处置，破损的废润滑油桶、废攻丝油桶、废切削液桶均属于危险废物（HW49 900-041-49），均委托有相关资质单位处理处置。</w:t>
      </w:r>
      <w:r>
        <w:rPr>
          <w:rFonts w:hint="default" w:ascii="Times New Roman" w:hAnsi="Times New Roman" w:eastAsia="宋体" w:cs="Times New Roman"/>
          <w:snapToGrid w:val="0"/>
          <w:color w:val="auto"/>
          <w:kern w:val="0"/>
          <w:sz w:val="24"/>
          <w:szCs w:val="24"/>
          <w:lang w:val="en-US" w:eastAsia="zh-CN" w:bidi="ar-SA"/>
        </w:rPr>
        <w:br w:type="textWrapping"/>
      </w:r>
      <w:r>
        <w:rPr>
          <w:rFonts w:hint="eastAsia" w:cs="Times New Roman"/>
          <w:snapToGrid w:val="0"/>
          <w:color w:val="auto"/>
          <w:kern w:val="0"/>
          <w:sz w:val="24"/>
          <w:szCs w:val="24"/>
          <w:lang w:val="en-US" w:eastAsia="zh-CN" w:bidi="ar-SA"/>
        </w:rPr>
        <w:t xml:space="preserve">    </w:t>
      </w:r>
      <w:r>
        <w:rPr>
          <w:rFonts w:hint="default" w:ascii="Times New Roman" w:hAnsi="Times New Roman" w:eastAsia="宋体" w:cs="Times New Roman"/>
          <w:snapToGrid w:val="0"/>
          <w:color w:val="auto"/>
          <w:kern w:val="0"/>
          <w:sz w:val="24"/>
          <w:szCs w:val="24"/>
          <w:lang w:val="en-US" w:eastAsia="zh-CN" w:bidi="ar-SA"/>
        </w:rPr>
        <w:t>四、验收监测结果</w:t>
      </w:r>
    </w:p>
    <w:p>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（一）环保设施运行检测结果</w:t>
      </w:r>
    </w:p>
    <w:p>
      <w:pPr>
        <w:widowControl/>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eastAsia" w:cs="Times New Roman"/>
          <w:color w:val="auto"/>
          <w:sz w:val="24"/>
          <w:szCs w:val="24"/>
          <w:lang w:eastAsia="zh-CN"/>
        </w:rPr>
        <w:t>山东绿和环保咨询有限公司</w:t>
      </w:r>
      <w:r>
        <w:rPr>
          <w:rFonts w:hint="default" w:ascii="Times New Roman" w:hAnsi="Times New Roman" w:eastAsia="宋体" w:cs="Times New Roman"/>
          <w:color w:val="auto"/>
          <w:sz w:val="24"/>
          <w:szCs w:val="24"/>
        </w:rPr>
        <w:t>出具的</w:t>
      </w:r>
      <w:r>
        <w:rPr>
          <w:rFonts w:hint="default" w:ascii="Times New Roman" w:hAnsi="Times New Roman" w:eastAsia="宋体" w:cs="Times New Roman"/>
          <w:b w:val="0"/>
          <w:bCs w:val="0"/>
          <w:color w:val="auto"/>
          <w:sz w:val="24"/>
          <w:szCs w:val="24"/>
        </w:rPr>
        <w:t>《</w:t>
      </w:r>
      <w:r>
        <w:rPr>
          <w:rFonts w:hint="eastAsia" w:cs="Times New Roman"/>
          <w:b w:val="0"/>
          <w:bCs w:val="0"/>
          <w:color w:val="auto"/>
          <w:sz w:val="24"/>
          <w:szCs w:val="24"/>
          <w:lang w:val="en-US" w:eastAsia="zh-CN"/>
        </w:rPr>
        <w:t>莘县生辉不锈钢制品有限公司年产300吨不锈钢船锚及配件扩建项目（一期）</w:t>
      </w:r>
      <w:r>
        <w:rPr>
          <w:rFonts w:hint="default" w:ascii="Times New Roman" w:hAnsi="Times New Roman" w:eastAsia="宋体" w:cs="Times New Roman"/>
          <w:color w:val="auto"/>
          <w:sz w:val="24"/>
          <w:szCs w:val="24"/>
        </w:rPr>
        <w:t>竣工环境保护验收监测报告》监测结果表明：</w:t>
      </w:r>
    </w:p>
    <w:p>
      <w:pPr>
        <w:numPr>
          <w:ilvl w:val="0"/>
          <w:numId w:val="2"/>
        </w:num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废水</w:t>
      </w:r>
    </w:p>
    <w:p>
      <w:pPr>
        <w:spacing w:line="360" w:lineRule="auto"/>
        <w:ind w:left="233" w:leftChars="111" w:firstLine="518" w:firstLineChars="216"/>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sz w:val="24"/>
          <w:szCs w:val="24"/>
          <w:lang w:val="en-US" w:eastAsia="zh-CN"/>
        </w:rPr>
        <w:t>验收监测期间，废水pH为6.7-8.0，五日生化需氧量最高排放浓度为3.1mg/L，氨氮最高排放浓度为0.530mg/L，均满足《城市污水再生利用 城市杂用水水质》（GB T/18920-2020）表1“城市绿化、道路清扫、消防、建筑施工”水质要求。</w:t>
      </w:r>
    </w:p>
    <w:p>
      <w:pPr>
        <w:numPr>
          <w:ilvl w:val="0"/>
          <w:numId w:val="3"/>
        </w:num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废气</w:t>
      </w:r>
    </w:p>
    <w:p>
      <w:pPr>
        <w:spacing w:line="360" w:lineRule="auto"/>
        <w:ind w:left="233" w:leftChars="111" w:firstLine="518" w:firstLineChars="216"/>
        <w:rPr>
          <w:rFonts w:hint="default" w:cs="Times New Roman"/>
          <w:color w:val="auto"/>
          <w:sz w:val="24"/>
          <w:szCs w:val="24"/>
          <w:lang w:val="en-US" w:eastAsia="zh-CN"/>
        </w:rPr>
      </w:pPr>
      <w:r>
        <w:rPr>
          <w:rFonts w:hint="default" w:ascii="Times New Roman" w:hAnsi="Times New Roman" w:eastAsia="宋体" w:cs="Times New Roman"/>
          <w:color w:val="auto"/>
          <w:sz w:val="24"/>
          <w:szCs w:val="24"/>
        </w:rPr>
        <w:t>验</w:t>
      </w:r>
      <w:r>
        <w:rPr>
          <w:rFonts w:hint="default" w:ascii="Times New Roman" w:hAnsi="Times New Roman" w:eastAsia="宋体" w:cs="Times New Roman"/>
          <w:bCs/>
          <w:color w:val="auto"/>
          <w:sz w:val="24"/>
          <w:szCs w:val="24"/>
        </w:rPr>
        <w:t>收监测期间，</w:t>
      </w:r>
      <w:r>
        <w:rPr>
          <w:rFonts w:hint="default" w:ascii="Times New Roman" w:hAnsi="Times New Roman" w:cs="Times New Roman"/>
          <w:color w:val="auto"/>
          <w:sz w:val="24"/>
          <w:szCs w:val="24"/>
          <w:lang w:eastAsia="zh-CN"/>
        </w:rPr>
        <w:t>有组织颗粒物</w:t>
      </w:r>
      <w:r>
        <w:rPr>
          <w:rFonts w:hint="eastAsia" w:ascii="Times New Roman" w:hAnsi="Times New Roman" w:cs="Times New Roman"/>
          <w:bCs/>
          <w:color w:val="auto"/>
          <w:sz w:val="24"/>
          <w:szCs w:val="24"/>
          <w:lang w:val="en-US" w:eastAsia="zh-CN"/>
        </w:rPr>
        <w:t>最高排放浓度为1.6</w:t>
      </w:r>
      <w:r>
        <w:rPr>
          <w:rFonts w:hint="default" w:ascii="Times New Roman" w:hAnsi="Times New Roman" w:eastAsia="宋体" w:cs="Times New Roman"/>
          <w:bCs/>
          <w:color w:val="auto"/>
          <w:sz w:val="24"/>
          <w:szCs w:val="24"/>
        </w:rPr>
        <w:t>mg/m</w:t>
      </w:r>
      <w:r>
        <w:rPr>
          <w:rFonts w:hint="default" w:ascii="Times New Roman" w:hAnsi="Times New Roman" w:eastAsia="宋体" w:cs="Times New Roman"/>
          <w:bCs/>
          <w:color w:val="auto"/>
          <w:sz w:val="24"/>
          <w:szCs w:val="24"/>
          <w:vertAlign w:val="superscript"/>
        </w:rPr>
        <w:t>3</w:t>
      </w:r>
      <w:r>
        <w:rPr>
          <w:rFonts w:hint="default" w:ascii="Times New Roman" w:hAnsi="Times New Roman" w:eastAsia="宋体" w:cs="Times New Roman"/>
          <w:bCs/>
          <w:color w:val="auto"/>
          <w:sz w:val="24"/>
          <w:szCs w:val="24"/>
        </w:rPr>
        <w:t>，</w:t>
      </w:r>
      <w:r>
        <w:rPr>
          <w:rFonts w:hint="eastAsia" w:ascii="Times New Roman" w:hAnsi="Times New Roman" w:cs="Times New Roman"/>
          <w:bCs/>
          <w:color w:val="auto"/>
          <w:sz w:val="24"/>
          <w:szCs w:val="24"/>
          <w:lang w:eastAsia="zh-CN"/>
        </w:rPr>
        <w:t>排放速率最高为0.012</w:t>
      </w:r>
      <w:r>
        <w:rPr>
          <w:rFonts w:hint="default" w:ascii="Times New Roman" w:hAnsi="Times New Roman" w:eastAsia="宋体" w:cs="Times New Roman"/>
          <w:bCs/>
          <w:color w:val="auto"/>
          <w:sz w:val="24"/>
          <w:szCs w:val="24"/>
        </w:rPr>
        <w:t>kg/h</w:t>
      </w:r>
      <w:r>
        <w:rPr>
          <w:rFonts w:hint="default" w:ascii="Times New Roman" w:hAnsi="Times New Roman" w:eastAsia="宋体" w:cs="Times New Roman"/>
          <w:bCs/>
          <w:color w:val="auto"/>
          <w:sz w:val="24"/>
          <w:szCs w:val="24"/>
          <w:lang w:eastAsia="zh-CN"/>
        </w:rPr>
        <w:t>，满足《区域性大气污染物综合排放标准》（DB37/2376-2019）中表1中“一般控制区”标准以及《大气污染物综合排放标准》（GB16297-1996）表2二级标准。</w:t>
      </w:r>
      <w:r>
        <w:rPr>
          <w:rFonts w:hint="default" w:ascii="Times New Roman" w:hAnsi="Times New Roman" w:eastAsia="宋体" w:cs="Times New Roman"/>
          <w:sz w:val="24"/>
          <w:szCs w:val="24"/>
          <w:lang w:eastAsia="zh-CN"/>
        </w:rPr>
        <w:t>无组织颗粒物</w:t>
      </w:r>
      <w:r>
        <w:rPr>
          <w:rFonts w:hint="default" w:ascii="Times New Roman" w:hAnsi="Times New Roman" w:cs="Times New Roman"/>
          <w:sz w:val="24"/>
          <w:szCs w:val="24"/>
          <w:lang w:eastAsia="zh-CN"/>
        </w:rPr>
        <w:t>小时浓度</w:t>
      </w:r>
      <w:r>
        <w:rPr>
          <w:rFonts w:hint="eastAsia" w:ascii="Times New Roman" w:hAnsi="Times New Roman" w:cs="Times New Roman"/>
          <w:sz w:val="24"/>
          <w:szCs w:val="24"/>
          <w:lang w:eastAsia="zh-CN"/>
        </w:rPr>
        <w:t>最高为0.315</w:t>
      </w:r>
      <w:r>
        <w:rPr>
          <w:rFonts w:hint="default" w:ascii="Times New Roman" w:hAnsi="Times New Roman" w:cs="Times New Roman"/>
          <w:sz w:val="24"/>
          <w:szCs w:val="24"/>
          <w:lang w:val="en-US" w:eastAsia="zh-CN"/>
        </w:rPr>
        <w:t>mg/m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vertAlign w:val="baseline"/>
          <w:lang w:val="en-US" w:eastAsia="zh-CN"/>
        </w:rPr>
        <w:t>，满足《大气污染物综合排放标准》表2中无组织监控浓度限值</w:t>
      </w:r>
      <w:r>
        <w:rPr>
          <w:rFonts w:hint="default" w:cs="Times New Roman"/>
          <w:color w:val="auto"/>
          <w:sz w:val="24"/>
          <w:szCs w:val="24"/>
          <w:lang w:val="en-US" w:eastAsia="zh-CN"/>
        </w:rPr>
        <w:t>。</w:t>
      </w:r>
    </w:p>
    <w:p>
      <w:pPr>
        <w:spacing w:line="360" w:lineRule="auto"/>
        <w:ind w:left="233" w:leftChars="111" w:firstLine="518" w:firstLineChars="216"/>
        <w:rPr>
          <w:rFonts w:hint="default" w:cs="Times New Roman"/>
          <w:color w:val="auto"/>
          <w:sz w:val="24"/>
          <w:szCs w:val="24"/>
          <w:lang w:val="en-US" w:eastAsia="zh-CN"/>
        </w:rPr>
      </w:pPr>
      <w:r>
        <w:rPr>
          <w:rFonts w:hint="eastAsia" w:cs="Times New Roman"/>
          <w:color w:val="auto"/>
          <w:sz w:val="24"/>
          <w:szCs w:val="24"/>
          <w:lang w:val="en-US" w:eastAsia="zh-CN"/>
        </w:rPr>
        <w:t xml:space="preserve">总量控制：根据《莘县生辉不锈钢制品有限公司年产300吨不锈钢船锚配件项目环境影响报告表》及《莘县生辉不锈钢制品有限公司年产300吨不锈钢船锚及配件扩建项目环境影响报告表》中关于颗粒物排放描述，结合企业主动将激光切割工序产生的颗粒物无组织变更为有组织排放，且提高了焊接工序废气收集、处理效率及风机风量，本项目预计有组织颗粒物排放总量为0.026305t/a。根据本次项目监测结果，以及企业提供运行时间（切割、焊接、抛光打磨工作时间1800h/a），本项目颗粒物折算为满负荷后排放总量为0.019839t/a，满足预计总量控制指标0.026305t/a。 </w:t>
      </w:r>
    </w:p>
    <w:p>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 噪声</w:t>
      </w:r>
    </w:p>
    <w:p>
      <w:pPr>
        <w:spacing w:line="360" w:lineRule="auto"/>
        <w:ind w:left="216" w:leftChars="103" w:firstLine="480" w:firstLineChars="200"/>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auto"/>
          <w:sz w:val="24"/>
          <w:szCs w:val="24"/>
        </w:rPr>
        <w:t>验收监测期间，监测点位昼间噪声在</w:t>
      </w:r>
      <w:r>
        <w:rPr>
          <w:rFonts w:hint="eastAsia" w:ascii="Times New Roman" w:hAnsi="Times New Roman" w:eastAsia="宋体" w:cs="Times New Roman"/>
          <w:color w:val="auto"/>
          <w:sz w:val="24"/>
          <w:szCs w:val="24"/>
          <w:lang w:eastAsia="zh-CN"/>
        </w:rPr>
        <w:t>50.9-58.1</w:t>
      </w:r>
      <w:r>
        <w:rPr>
          <w:rFonts w:hint="default" w:ascii="Times New Roman" w:hAnsi="Times New Roman" w:eastAsia="宋体" w:cs="Times New Roman"/>
          <w:color w:val="auto"/>
          <w:sz w:val="24"/>
          <w:szCs w:val="24"/>
        </w:rPr>
        <w:t>(dB)之间，夜间不生产，符合《工业企业厂界环境噪声排放标准》（GB12348－2008）中的</w:t>
      </w:r>
      <w:r>
        <w:rPr>
          <w:rFonts w:hint="eastAsia" w:ascii="Times New Roman" w:hAnsi="Times New Roman" w:eastAsia="宋体" w:cs="Times New Roman"/>
          <w:color w:val="auto"/>
          <w:sz w:val="24"/>
          <w:szCs w:val="24"/>
          <w:lang w:eastAsia="zh-CN"/>
        </w:rPr>
        <w:t>2类标准</w:t>
      </w:r>
      <w:r>
        <w:rPr>
          <w:rFonts w:hint="default" w:ascii="Times New Roman" w:hAnsi="Times New Roman" w:eastAsia="宋体" w:cs="Times New Roman"/>
          <w:color w:val="auto"/>
          <w:sz w:val="24"/>
          <w:szCs w:val="24"/>
        </w:rPr>
        <w:t>限值</w:t>
      </w:r>
      <w:r>
        <w:rPr>
          <w:rFonts w:hint="default" w:ascii="Times New Roman" w:hAnsi="Times New Roman" w:eastAsia="宋体" w:cs="Times New Roman"/>
          <w:color w:val="000000"/>
          <w:kern w:val="2"/>
          <w:sz w:val="24"/>
          <w:szCs w:val="24"/>
          <w:lang w:val="en-US" w:eastAsia="zh-CN" w:bidi="ar-SA"/>
        </w:rPr>
        <w:t>。</w:t>
      </w:r>
    </w:p>
    <w:p>
      <w:pPr>
        <w:numPr>
          <w:ilvl w:val="0"/>
          <w:numId w:val="4"/>
        </w:numPr>
        <w:spacing w:line="360" w:lineRule="auto"/>
        <w:ind w:left="233" w:leftChars="111" w:firstLine="518" w:firstLineChars="216"/>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固体废物</w:t>
      </w:r>
    </w:p>
    <w:p>
      <w:pPr>
        <w:spacing w:line="360" w:lineRule="auto"/>
        <w:ind w:left="233" w:leftChars="111" w:firstLine="518" w:firstLineChars="216"/>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同上文三、（四）</w:t>
      </w:r>
      <w:r>
        <w:rPr>
          <w:rFonts w:hint="default" w:ascii="Times New Roman" w:hAnsi="Times New Roman" w:eastAsia="宋体" w:cs="Times New Roman"/>
          <w:color w:val="auto"/>
          <w:sz w:val="24"/>
          <w:szCs w:val="24"/>
        </w:rPr>
        <w:t>。</w:t>
      </w:r>
    </w:p>
    <w:p>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（二）环境管理调查</w:t>
      </w:r>
    </w:p>
    <w:p>
      <w:pPr>
        <w:spacing w:line="360" w:lineRule="auto"/>
        <w:ind w:left="233" w:leftChars="111" w:firstLine="518" w:firstLineChars="216"/>
        <w:rPr>
          <w:rFonts w:hint="default" w:ascii="Times New Roman" w:hAnsi="Times New Roman" w:eastAsia="宋体" w:cs="Times New Roman"/>
          <w:color w:val="auto"/>
          <w:sz w:val="24"/>
          <w:szCs w:val="24"/>
        </w:rPr>
      </w:pPr>
      <w:r>
        <w:rPr>
          <w:rFonts w:hint="eastAsia" w:cs="Times New Roman"/>
          <w:color w:val="auto"/>
          <w:sz w:val="24"/>
          <w:szCs w:val="24"/>
          <w:lang w:eastAsia="zh-CN"/>
        </w:rPr>
        <w:t>莘县生辉不锈钢制品有限公司</w:t>
      </w:r>
      <w:r>
        <w:rPr>
          <w:rFonts w:hint="default" w:ascii="Times New Roman" w:hAnsi="Times New Roman" w:eastAsia="宋体" w:cs="Times New Roman"/>
          <w:color w:val="auto"/>
          <w:sz w:val="24"/>
          <w:szCs w:val="24"/>
        </w:rPr>
        <w:t>制定了《</w:t>
      </w:r>
      <w:r>
        <w:rPr>
          <w:rFonts w:hint="eastAsia" w:cs="Times New Roman"/>
          <w:color w:val="auto"/>
          <w:sz w:val="24"/>
          <w:szCs w:val="24"/>
          <w:lang w:eastAsia="zh-CN"/>
        </w:rPr>
        <w:t>莘县生辉不锈钢制品有限公司</w:t>
      </w:r>
      <w:r>
        <w:rPr>
          <w:rFonts w:hint="default" w:ascii="Times New Roman" w:hAnsi="Times New Roman" w:eastAsia="宋体" w:cs="Times New Roman"/>
          <w:color w:val="auto"/>
          <w:sz w:val="24"/>
          <w:szCs w:val="24"/>
        </w:rPr>
        <w:t>环保管理制度》</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并设立了相关机构。日常工作由</w:t>
      </w:r>
      <w:r>
        <w:rPr>
          <w:rFonts w:hint="eastAsia" w:ascii="Times New Roman" w:hAnsi="Times New Roman" w:eastAsia="宋体" w:cs="Times New Roman"/>
          <w:color w:val="auto"/>
          <w:sz w:val="24"/>
          <w:szCs w:val="24"/>
          <w:lang w:eastAsia="zh-CN"/>
        </w:rPr>
        <w:t>办公室</w:t>
      </w:r>
      <w:r>
        <w:rPr>
          <w:rFonts w:hint="default" w:ascii="Times New Roman" w:hAnsi="Times New Roman" w:eastAsia="宋体" w:cs="Times New Roman"/>
          <w:color w:val="auto"/>
          <w:sz w:val="24"/>
          <w:szCs w:val="24"/>
        </w:rPr>
        <w:t>管理，其主要职责是：行使公司环保工作的计划、组织、指挥、协调、检查和考核管理职能，日常一切工作须对公司负责。</w:t>
      </w:r>
    </w:p>
    <w:p>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五、工程建设对环境的影响</w:t>
      </w:r>
    </w:p>
    <w:p>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项目建设进行了环境影响评价，基本落实了环境影响评价文件及其批复要求。验收监测期间，项目产生的废气、噪声能够达标排放，</w:t>
      </w:r>
      <w:r>
        <w:rPr>
          <w:rFonts w:hint="eastAsia" w:ascii="Times New Roman" w:hAnsi="Times New Roman" w:eastAsia="宋体" w:cs="Times New Roman"/>
          <w:color w:val="auto"/>
          <w:sz w:val="24"/>
          <w:szCs w:val="24"/>
          <w:lang w:val="en-US" w:eastAsia="zh-CN"/>
        </w:rPr>
        <w:t>废水、</w:t>
      </w:r>
      <w:r>
        <w:rPr>
          <w:rFonts w:hint="default" w:ascii="Times New Roman" w:hAnsi="Times New Roman" w:eastAsia="宋体" w:cs="Times New Roman"/>
          <w:color w:val="auto"/>
          <w:sz w:val="24"/>
          <w:szCs w:val="24"/>
        </w:rPr>
        <w:t>固体废物能够得到妥善处理。</w:t>
      </w:r>
    </w:p>
    <w:p>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六、</w:t>
      </w:r>
      <w:r>
        <w:rPr>
          <w:rFonts w:hint="default" w:ascii="Times New Roman" w:hAnsi="Times New Roman" w:eastAsia="宋体" w:cs="Times New Roman"/>
          <w:color w:val="auto"/>
          <w:sz w:val="24"/>
          <w:szCs w:val="24"/>
        </w:rPr>
        <w:t>验收结论</w:t>
      </w:r>
    </w:p>
    <w:p>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莘县生辉不锈钢制品有限公司年产300吨不锈钢船锚及配件扩建项目（一期）</w:t>
      </w:r>
      <w:r>
        <w:rPr>
          <w:rFonts w:hint="default" w:ascii="Times New Roman" w:hAnsi="Times New Roman" w:eastAsia="宋体" w:cs="Times New Roman"/>
          <w:color w:val="auto"/>
          <w:sz w:val="24"/>
          <w:szCs w:val="24"/>
        </w:rPr>
        <w:t>实施过程中按照环评及其批复要求落实了相关环保措施，项目建设过程未发生重大变动；验收监测的污染物排放达到国家相关排放标准，验收报告不存在重大质量缺陷。</w:t>
      </w:r>
    </w:p>
    <w:p>
      <w:pPr>
        <w:spacing w:line="360" w:lineRule="auto"/>
        <w:ind w:left="233" w:leftChars="111" w:firstLine="518" w:firstLineChars="216"/>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鉴于项目基本符合验收条件，不存在《建设项目竣工环境保护验收暂行办法》中所规定的验收不合格情形，验收组原则上同意该项目通过环保验收。</w:t>
      </w:r>
    </w:p>
    <w:p>
      <w:pPr>
        <w:spacing w:line="360" w:lineRule="auto"/>
        <w:ind w:left="233" w:leftChars="111" w:firstLine="518" w:firstLineChars="216"/>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七、后续要求</w:t>
      </w:r>
    </w:p>
    <w:p>
      <w:pPr>
        <w:spacing w:line="360" w:lineRule="auto"/>
        <w:ind w:left="233" w:leftChars="111" w:firstLine="518" w:firstLineChars="216"/>
        <w:jc w:val="left"/>
        <w:rPr>
          <w:rFonts w:hint="eastAsia" w:cs="Times New Roman"/>
          <w:color w:val="auto"/>
          <w:sz w:val="24"/>
          <w:szCs w:val="24"/>
          <w:lang w:val="en-US" w:eastAsia="zh-CN"/>
        </w:rPr>
      </w:pPr>
      <w:r>
        <w:rPr>
          <w:rFonts w:hint="eastAsia" w:cs="Times New Roman"/>
          <w:color w:val="auto"/>
          <w:sz w:val="24"/>
          <w:szCs w:val="24"/>
          <w:lang w:val="en-US" w:eastAsia="zh-CN"/>
        </w:rPr>
        <w:t>1、注意车床周围卫生，保持清洁生产。</w:t>
      </w:r>
    </w:p>
    <w:p>
      <w:pPr>
        <w:spacing w:line="360" w:lineRule="auto"/>
        <w:ind w:left="233" w:leftChars="111" w:firstLine="518" w:firstLineChars="216"/>
        <w:jc w:val="left"/>
        <w:rPr>
          <w:rFonts w:hint="default" w:ascii="Times New Roman" w:hAnsi="Times New Roman" w:eastAsia="宋体" w:cs="Times New Roman"/>
          <w:color w:val="auto"/>
          <w:kern w:val="2"/>
          <w:sz w:val="24"/>
          <w:szCs w:val="24"/>
          <w:lang w:val="en-US" w:eastAsia="zh-CN" w:bidi="ar-SA"/>
        </w:rPr>
      </w:pPr>
      <w:r>
        <w:rPr>
          <w:rFonts w:hint="eastAsia" w:cs="Times New Roman"/>
          <w:color w:val="auto"/>
          <w:sz w:val="24"/>
          <w:szCs w:val="24"/>
          <w:lang w:val="en-US" w:eastAsia="zh-CN"/>
        </w:rPr>
        <w:t>2、</w:t>
      </w:r>
      <w:r>
        <w:rPr>
          <w:rFonts w:hint="default" w:ascii="Times New Roman" w:hAnsi="Times New Roman" w:cs="Times New Roman"/>
          <w:color w:val="000000"/>
          <w:sz w:val="24"/>
          <w:szCs w:val="24"/>
          <w:highlight w:val="none"/>
          <w:lang w:eastAsia="zh-CN"/>
        </w:rPr>
        <w:t>项目运营过程中，</w:t>
      </w:r>
      <w:r>
        <w:rPr>
          <w:rFonts w:hint="eastAsia" w:cs="Times New Roman"/>
          <w:color w:val="000000"/>
          <w:sz w:val="24"/>
          <w:szCs w:val="24"/>
          <w:highlight w:val="none"/>
          <w:lang w:eastAsia="zh-CN"/>
        </w:rPr>
        <w:t>及时收集并</w:t>
      </w:r>
      <w:r>
        <w:rPr>
          <w:rFonts w:hint="default" w:ascii="Times New Roman" w:hAnsi="Times New Roman" w:cs="Times New Roman"/>
          <w:sz w:val="24"/>
          <w:szCs w:val="24"/>
          <w:highlight w:val="none"/>
          <w:lang w:eastAsia="zh-CN"/>
        </w:rPr>
        <w:t>严格按照</w:t>
      </w:r>
      <w:r>
        <w:rPr>
          <w:rFonts w:hint="default" w:ascii="Times New Roman" w:hAnsi="Times New Roman" w:eastAsia="宋体" w:cs="Times New Roman"/>
          <w:sz w:val="24"/>
          <w:szCs w:val="24"/>
          <w:lang w:val="en-US" w:eastAsia="zh-CN"/>
        </w:rPr>
        <w:t>《一般工业固体废物贮存和填埋污染控制标准》（GB 18599-2020）要求</w:t>
      </w:r>
      <w:r>
        <w:rPr>
          <w:rFonts w:hint="eastAsia" w:cs="Times New Roman"/>
          <w:sz w:val="24"/>
          <w:szCs w:val="24"/>
          <w:lang w:val="en-US" w:eastAsia="zh-CN"/>
        </w:rPr>
        <w:t>规范存放</w:t>
      </w:r>
      <w:r>
        <w:rPr>
          <w:rFonts w:hint="default" w:ascii="Times New Roman" w:hAnsi="Times New Roman" w:cs="Times New Roman"/>
          <w:sz w:val="24"/>
          <w:szCs w:val="24"/>
          <w:highlight w:val="none"/>
          <w:lang w:eastAsia="zh-CN"/>
        </w:rPr>
        <w:t>一般工业固废</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补充危险废物管理等制度，</w:t>
      </w:r>
      <w:r>
        <w:rPr>
          <w:rFonts w:hint="eastAsia" w:ascii="Times New Roman" w:hAnsi="Times New Roman" w:eastAsia="宋体" w:cs="Times New Roman"/>
          <w:sz w:val="24"/>
          <w:szCs w:val="24"/>
          <w:lang w:val="en-US" w:eastAsia="zh-CN"/>
        </w:rPr>
        <w:t>危险废物</w:t>
      </w:r>
      <w:r>
        <w:rPr>
          <w:rFonts w:hint="eastAsia" w:ascii="Times New Roman" w:hAnsi="Times New Roman" w:eastAsia="宋体" w:cs="Times New Roman"/>
          <w:color w:val="auto"/>
          <w:sz w:val="24"/>
          <w:szCs w:val="24"/>
          <w:highlight w:val="none"/>
          <w:lang w:val="en-US" w:eastAsia="zh-CN"/>
        </w:rPr>
        <w:t>严格按照《危险废物贮存污染控制标准》（GB18597-2001）及修改单要求，对产生的危险废物进行贮存和管理，并委托有资质的单位及时进行转移处置</w:t>
      </w:r>
      <w:r>
        <w:rPr>
          <w:rFonts w:hint="default" w:ascii="Times New Roman" w:hAnsi="Times New Roman" w:eastAsia="宋体" w:cs="Times New Roman"/>
          <w:color w:val="auto"/>
          <w:kern w:val="2"/>
          <w:sz w:val="24"/>
          <w:szCs w:val="24"/>
          <w:lang w:val="en-US" w:eastAsia="zh-CN" w:bidi="ar-SA"/>
        </w:rPr>
        <w:t>。</w:t>
      </w:r>
    </w:p>
    <w:p>
      <w:pPr>
        <w:spacing w:line="360" w:lineRule="auto"/>
        <w:ind w:left="233" w:leftChars="111" w:firstLine="518" w:firstLineChars="216"/>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八、验收人员信息见附件。</w:t>
      </w:r>
    </w:p>
    <w:p>
      <w:pPr>
        <w:spacing w:line="360" w:lineRule="auto"/>
        <w:ind w:left="233" w:leftChars="111" w:firstLine="520" w:firstLineChars="216"/>
        <w:jc w:val="right"/>
        <w:rPr>
          <w:rFonts w:hint="eastAsia" w:cs="Times New Roman"/>
          <w:b/>
          <w:bCs/>
          <w:color w:val="auto"/>
          <w:sz w:val="24"/>
          <w:szCs w:val="24"/>
          <w:lang w:eastAsia="zh-CN"/>
        </w:rPr>
      </w:pPr>
      <w:r>
        <w:rPr>
          <w:rFonts w:hint="eastAsia" w:cs="Times New Roman"/>
          <w:b/>
          <w:bCs/>
          <w:color w:val="auto"/>
          <w:sz w:val="24"/>
          <w:szCs w:val="24"/>
          <w:lang w:eastAsia="zh-CN"/>
        </w:rPr>
        <w:t>莘县生辉不锈钢制品有限公司验收组</w:t>
      </w:r>
    </w:p>
    <w:p>
      <w:pPr>
        <w:spacing w:line="360" w:lineRule="auto"/>
        <w:ind w:left="233" w:leftChars="111" w:firstLine="520" w:firstLineChars="216"/>
        <w:jc w:val="right"/>
        <w:rPr>
          <w:rFonts w:hint="default"/>
          <w:lang w:eastAsia="zh-CN"/>
        </w:rPr>
      </w:pP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b/>
          <w:bCs/>
          <w:color w:val="auto"/>
          <w:sz w:val="24"/>
          <w:szCs w:val="24"/>
          <w:highlight w:val="none"/>
        </w:rPr>
        <w:t xml:space="preserve">                      </w:t>
      </w:r>
      <w:r>
        <w:rPr>
          <w:rFonts w:hint="eastAsia" w:cs="Times New Roman"/>
          <w:b/>
          <w:bCs/>
          <w:color w:val="auto"/>
          <w:sz w:val="24"/>
          <w:szCs w:val="24"/>
          <w:highlight w:val="none"/>
          <w:lang w:eastAsia="zh-CN"/>
        </w:rPr>
        <w:t>2022年2月19日</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E2C2C"/>
    <w:multiLevelType w:val="singleLevel"/>
    <w:tmpl w:val="C65E2C2C"/>
    <w:lvl w:ilvl="0" w:tentative="0">
      <w:start w:val="4"/>
      <w:numFmt w:val="decimal"/>
      <w:suff w:val="space"/>
      <w:lvlText w:val="%1."/>
      <w:lvlJc w:val="left"/>
    </w:lvl>
  </w:abstractNum>
  <w:abstractNum w:abstractNumId="1">
    <w:nsid w:val="EC370676"/>
    <w:multiLevelType w:val="singleLevel"/>
    <w:tmpl w:val="EC370676"/>
    <w:lvl w:ilvl="0" w:tentative="0">
      <w:start w:val="1"/>
      <w:numFmt w:val="decimal"/>
      <w:suff w:val="space"/>
      <w:lvlText w:val="%1."/>
      <w:lvlJc w:val="left"/>
    </w:lvl>
  </w:abstractNum>
  <w:abstractNum w:abstractNumId="2">
    <w:nsid w:val="25DA57D9"/>
    <w:multiLevelType w:val="multilevel"/>
    <w:tmpl w:val="25DA57D9"/>
    <w:lvl w:ilvl="0" w:tentative="0">
      <w:start w:val="3"/>
      <w:numFmt w:val="japaneseCounting"/>
      <w:lvlText w:val="%1、"/>
      <w:lvlJc w:val="left"/>
      <w:pPr>
        <w:ind w:left="1280" w:hanging="720"/>
      </w:pPr>
      <w:rPr>
        <w:rFonts w:hint="default"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3">
    <w:nsid w:val="4401761E"/>
    <w:multiLevelType w:val="singleLevel"/>
    <w:tmpl w:val="4401761E"/>
    <w:lvl w:ilvl="0" w:tentative="0">
      <w:start w:val="2"/>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403B8"/>
    <w:rsid w:val="01A67464"/>
    <w:rsid w:val="02E1230E"/>
    <w:rsid w:val="0363342C"/>
    <w:rsid w:val="0400088B"/>
    <w:rsid w:val="06DC5C52"/>
    <w:rsid w:val="0705220E"/>
    <w:rsid w:val="07E235D4"/>
    <w:rsid w:val="0A775B6C"/>
    <w:rsid w:val="0BB105F9"/>
    <w:rsid w:val="0BCD78E3"/>
    <w:rsid w:val="0BD4352F"/>
    <w:rsid w:val="0C9D7A18"/>
    <w:rsid w:val="0D002E61"/>
    <w:rsid w:val="0E9F521D"/>
    <w:rsid w:val="0EF20DA9"/>
    <w:rsid w:val="0FD64E9F"/>
    <w:rsid w:val="110D6D4E"/>
    <w:rsid w:val="12BE4513"/>
    <w:rsid w:val="13242E95"/>
    <w:rsid w:val="14A230EF"/>
    <w:rsid w:val="17073D8B"/>
    <w:rsid w:val="188E6607"/>
    <w:rsid w:val="18B2210E"/>
    <w:rsid w:val="18D05E89"/>
    <w:rsid w:val="19BD6A9B"/>
    <w:rsid w:val="1AAF6CA7"/>
    <w:rsid w:val="1B372D00"/>
    <w:rsid w:val="1B753DC5"/>
    <w:rsid w:val="1B7C7285"/>
    <w:rsid w:val="1BAC68BE"/>
    <w:rsid w:val="1DF30D46"/>
    <w:rsid w:val="1E9D1B02"/>
    <w:rsid w:val="20F95110"/>
    <w:rsid w:val="21E62141"/>
    <w:rsid w:val="23253252"/>
    <w:rsid w:val="24DD3549"/>
    <w:rsid w:val="27420539"/>
    <w:rsid w:val="27776D4F"/>
    <w:rsid w:val="284C33EF"/>
    <w:rsid w:val="286B6E9D"/>
    <w:rsid w:val="2BD129D7"/>
    <w:rsid w:val="2BFB35B9"/>
    <w:rsid w:val="2C8345D6"/>
    <w:rsid w:val="2DE61E9D"/>
    <w:rsid w:val="2E594393"/>
    <w:rsid w:val="31572BC2"/>
    <w:rsid w:val="337178B1"/>
    <w:rsid w:val="33E80446"/>
    <w:rsid w:val="35A21894"/>
    <w:rsid w:val="35CA7C00"/>
    <w:rsid w:val="36292142"/>
    <w:rsid w:val="371221B6"/>
    <w:rsid w:val="395656FC"/>
    <w:rsid w:val="3A002C99"/>
    <w:rsid w:val="3B2962D5"/>
    <w:rsid w:val="3B9345B4"/>
    <w:rsid w:val="3BAC5A77"/>
    <w:rsid w:val="3C495586"/>
    <w:rsid w:val="3C614E95"/>
    <w:rsid w:val="3D216C63"/>
    <w:rsid w:val="3D481CA9"/>
    <w:rsid w:val="3DE20D1D"/>
    <w:rsid w:val="3E7D0FBB"/>
    <w:rsid w:val="3EF115E1"/>
    <w:rsid w:val="407E79EC"/>
    <w:rsid w:val="425A3055"/>
    <w:rsid w:val="42D02360"/>
    <w:rsid w:val="42ED0B8D"/>
    <w:rsid w:val="440B2C50"/>
    <w:rsid w:val="45B12AB5"/>
    <w:rsid w:val="46440069"/>
    <w:rsid w:val="483D5E39"/>
    <w:rsid w:val="4BC32318"/>
    <w:rsid w:val="4CF47C94"/>
    <w:rsid w:val="4D966CB6"/>
    <w:rsid w:val="51603323"/>
    <w:rsid w:val="51800668"/>
    <w:rsid w:val="51D32C9A"/>
    <w:rsid w:val="52082039"/>
    <w:rsid w:val="520B1012"/>
    <w:rsid w:val="522D7EDE"/>
    <w:rsid w:val="53D87E59"/>
    <w:rsid w:val="56DD1623"/>
    <w:rsid w:val="584674DB"/>
    <w:rsid w:val="59632F9B"/>
    <w:rsid w:val="59772D6C"/>
    <w:rsid w:val="5B994AD0"/>
    <w:rsid w:val="5BB97A85"/>
    <w:rsid w:val="5C705EEE"/>
    <w:rsid w:val="5D580A9C"/>
    <w:rsid w:val="5F0C4CFF"/>
    <w:rsid w:val="602A22C2"/>
    <w:rsid w:val="645131A5"/>
    <w:rsid w:val="64C4763E"/>
    <w:rsid w:val="65826A80"/>
    <w:rsid w:val="66FB5067"/>
    <w:rsid w:val="6A4209DB"/>
    <w:rsid w:val="6ABA50EB"/>
    <w:rsid w:val="6DEB0CC4"/>
    <w:rsid w:val="6E620EC2"/>
    <w:rsid w:val="6FCF1540"/>
    <w:rsid w:val="70346B17"/>
    <w:rsid w:val="72964393"/>
    <w:rsid w:val="72C90F73"/>
    <w:rsid w:val="7593546D"/>
    <w:rsid w:val="75C3338A"/>
    <w:rsid w:val="76AB541C"/>
    <w:rsid w:val="77930543"/>
    <w:rsid w:val="7FC46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li_正文"/>
    <w:basedOn w:val="1"/>
    <w:qFormat/>
    <w:uiPriority w:val="0"/>
    <w:pPr>
      <w:ind w:firstLine="200" w:firstLineChars="200"/>
      <w:jc w:val="left"/>
    </w:pPr>
    <w:rPr>
      <w:rFonts w:ascii="Calibri" w:hAnsi="Calibri" w:eastAsia="宋体" w:cs="Times New Roman"/>
      <w:sz w:val="28"/>
      <w:szCs w:val="28"/>
    </w:rPr>
  </w:style>
  <w:style w:type="paragraph" w:styleId="3">
    <w:name w:val="annotation text"/>
    <w:basedOn w:val="1"/>
    <w:unhideWhenUsed/>
    <w:qFormat/>
    <w:uiPriority w:val="99"/>
    <w:pPr>
      <w:jc w:val="left"/>
    </w:pPr>
  </w:style>
  <w:style w:type="paragraph" w:styleId="4">
    <w:name w:val="Body Text"/>
    <w:basedOn w:val="1"/>
    <w:next w:val="5"/>
    <w:qFormat/>
    <w:uiPriority w:val="0"/>
    <w:pPr>
      <w:spacing w:after="120"/>
    </w:pPr>
  </w:style>
  <w:style w:type="paragraph" w:styleId="5">
    <w:name w:val="Date"/>
    <w:basedOn w:val="1"/>
    <w:next w:val="1"/>
    <w:qFormat/>
    <w:uiPriority w:val="0"/>
    <w:pPr>
      <w:ind w:left="100" w:leftChars="2500"/>
    </w:pPr>
    <w:rPr>
      <w:rFonts w:ascii="宋体" w:hAnsi="宋体"/>
      <w:szCs w:val="24"/>
    </w:rPr>
  </w:style>
  <w:style w:type="paragraph" w:styleId="6">
    <w:name w:val="Body Text Indent"/>
    <w:basedOn w:val="1"/>
    <w:next w:val="7"/>
    <w:qFormat/>
    <w:uiPriority w:val="0"/>
    <w:pPr>
      <w:ind w:right="-100" w:firstLine="560" w:firstLineChars="200"/>
    </w:pPr>
    <w:rPr>
      <w:sz w:val="28"/>
    </w:rPr>
  </w:style>
  <w:style w:type="paragraph" w:styleId="7">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5"/>
    <w:basedOn w:val="9"/>
    <w:qFormat/>
    <w:uiPriority w:val="0"/>
    <w:pPr>
      <w:snapToGrid w:val="0"/>
      <w:spacing w:line="360" w:lineRule="auto"/>
      <w:ind w:firstLine="510"/>
    </w:pPr>
    <w:rPr>
      <w:sz w:val="24"/>
    </w:rPr>
  </w:style>
  <w:style w:type="paragraph" w:customStyle="1" w:styleId="9">
    <w:name w:val="正文1"/>
    <w:basedOn w:val="1"/>
    <w:next w:val="1"/>
    <w:qFormat/>
    <w:uiPriority w:val="0"/>
    <w:pPr>
      <w:jc w:val="center"/>
    </w:pPr>
    <w:rPr>
      <w:rFonts w:ascii="宋体" w:hAnsi="宋体"/>
      <w:kern w:val="36"/>
    </w:rPr>
  </w:style>
  <w:style w:type="paragraph" w:styleId="10">
    <w:name w:val="Block Text"/>
    <w:basedOn w:val="1"/>
    <w:unhideWhenUsed/>
    <w:qFormat/>
    <w:uiPriority w:val="99"/>
    <w:pPr>
      <w:adjustRightInd/>
      <w:ind w:left="525" w:leftChars="250" w:right="685" w:rightChars="326" w:firstLine="560"/>
      <w:jc w:val="both"/>
      <w:textAlignment w:val="auto"/>
    </w:pPr>
    <w:rPr>
      <w:sz w:val="28"/>
      <w:szCs w:val="24"/>
    </w:rPr>
  </w:style>
  <w:style w:type="paragraph" w:styleId="11">
    <w:name w:val="Plain Text"/>
    <w:basedOn w:val="1"/>
    <w:next w:val="6"/>
    <w:unhideWhenUsed/>
    <w:qFormat/>
    <w:uiPriority w:val="99"/>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99"/>
    <w:pPr>
      <w:ind w:firstLine="420" w:firstLineChars="200"/>
    </w:pPr>
  </w:style>
  <w:style w:type="paragraph" w:customStyle="1" w:styleId="17">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不二橙。</cp:lastModifiedBy>
  <dcterms:modified xsi:type="dcterms:W3CDTF">2022-02-25T01:12:54Z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5F3E9D957CC14E9F938D06946CE12F19</vt:lpwstr>
  </property>
</Properties>
</file>