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20"/>
        </w:tabs>
        <w:spacing w:line="360" w:lineRule="auto"/>
        <w:jc w:val="center"/>
        <w:rPr>
          <w:rFonts w:hint="eastAsia" w:cs="Times New Roman"/>
          <w:b/>
          <w:color w:val="auto"/>
          <w:sz w:val="32"/>
          <w:szCs w:val="32"/>
          <w:lang w:val="en-US" w:eastAsia="zh-CN"/>
        </w:rPr>
      </w:pPr>
      <w:r>
        <w:rPr>
          <w:rFonts w:hint="eastAsia" w:cs="Times New Roman"/>
          <w:b/>
          <w:color w:val="auto"/>
          <w:sz w:val="32"/>
          <w:szCs w:val="32"/>
          <w:lang w:val="en-US" w:eastAsia="zh-CN"/>
        </w:rPr>
        <w:t>山东光佑金属制造有限公司年加工冲压件3000吨项目（一期）</w:t>
      </w:r>
    </w:p>
    <w:p>
      <w:pPr>
        <w:tabs>
          <w:tab w:val="left" w:pos="220"/>
        </w:tabs>
        <w:spacing w:line="360" w:lineRule="auto"/>
        <w:jc w:val="center"/>
        <w:rPr>
          <w:rFonts w:hint="default" w:ascii="Times New Roman" w:hAnsi="Times New Roman" w:eastAsia="宋体" w:cs="Times New Roman"/>
          <w:b/>
          <w:color w:val="auto"/>
          <w:sz w:val="32"/>
          <w:szCs w:val="32"/>
        </w:rPr>
      </w:pPr>
      <w:r>
        <w:rPr>
          <w:rFonts w:hint="default" w:ascii="Times New Roman" w:hAnsi="Times New Roman" w:eastAsia="宋体" w:cs="Times New Roman"/>
          <w:b/>
          <w:color w:val="auto"/>
          <w:sz w:val="32"/>
          <w:szCs w:val="32"/>
          <w:lang w:val="en-US" w:eastAsia="zh-CN"/>
        </w:rPr>
        <w:t>竣工</w:t>
      </w:r>
      <w:r>
        <w:rPr>
          <w:rFonts w:hint="default" w:ascii="Times New Roman" w:hAnsi="Times New Roman" w:eastAsia="宋体" w:cs="Times New Roman"/>
          <w:b/>
          <w:color w:val="auto"/>
          <w:sz w:val="32"/>
          <w:szCs w:val="32"/>
        </w:rPr>
        <w:t>环境保护验收现场检查及验收工作组验收意见</w:t>
      </w:r>
    </w:p>
    <w:p>
      <w:pPr>
        <w:tabs>
          <w:tab w:val="left" w:pos="220"/>
        </w:tabs>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eastAsia" w:cs="Times New Roman"/>
          <w:color w:val="auto"/>
          <w:sz w:val="28"/>
          <w:szCs w:val="28"/>
          <w:highlight w:val="none"/>
          <w:lang w:val="en-US" w:eastAsia="zh-CN"/>
        </w:rPr>
        <w:t>2020</w:t>
      </w:r>
      <w:r>
        <w:rPr>
          <w:rFonts w:hint="default" w:ascii="Times New Roman" w:hAnsi="Times New Roman" w:eastAsia="宋体" w:cs="Times New Roman"/>
          <w:color w:val="auto"/>
          <w:sz w:val="28"/>
          <w:szCs w:val="28"/>
          <w:highlight w:val="none"/>
        </w:rPr>
        <w:t>年</w:t>
      </w:r>
      <w:r>
        <w:rPr>
          <w:rFonts w:hint="eastAsia" w:cs="Times New Roman"/>
          <w:color w:val="auto"/>
          <w:sz w:val="28"/>
          <w:szCs w:val="28"/>
          <w:highlight w:val="none"/>
          <w:lang w:val="en-US" w:eastAsia="zh-CN"/>
        </w:rPr>
        <w:t>3</w:t>
      </w:r>
      <w:r>
        <w:rPr>
          <w:rFonts w:hint="default" w:ascii="Times New Roman" w:hAnsi="Times New Roman" w:eastAsia="宋体" w:cs="Times New Roman"/>
          <w:color w:val="auto"/>
          <w:sz w:val="28"/>
          <w:szCs w:val="28"/>
          <w:highlight w:val="none"/>
        </w:rPr>
        <w:t>月</w:t>
      </w:r>
      <w:r>
        <w:rPr>
          <w:rFonts w:hint="eastAsia" w:cs="Times New Roman"/>
          <w:color w:val="auto"/>
          <w:sz w:val="28"/>
          <w:szCs w:val="28"/>
          <w:highlight w:val="none"/>
          <w:lang w:val="en-US" w:eastAsia="zh-CN"/>
        </w:rPr>
        <w:t>7</w:t>
      </w:r>
      <w:r>
        <w:rPr>
          <w:rFonts w:hint="default" w:ascii="Times New Roman" w:hAnsi="Times New Roman" w:eastAsia="宋体" w:cs="Times New Roman"/>
          <w:color w:val="auto"/>
          <w:sz w:val="28"/>
          <w:szCs w:val="28"/>
          <w:highlight w:val="none"/>
        </w:rPr>
        <w:t>日</w:t>
      </w:r>
      <w:r>
        <w:rPr>
          <w:rFonts w:hint="default" w:ascii="Times New Roman" w:hAnsi="Times New Roman" w:eastAsia="宋体" w:cs="Times New Roman"/>
          <w:color w:val="auto"/>
          <w:sz w:val="28"/>
          <w:szCs w:val="28"/>
        </w:rPr>
        <w:t>，</w:t>
      </w:r>
      <w:r>
        <w:rPr>
          <w:rFonts w:hint="eastAsia" w:cs="Times New Roman"/>
          <w:color w:val="auto"/>
          <w:sz w:val="28"/>
          <w:szCs w:val="28"/>
          <w:lang w:val="en-US" w:eastAsia="zh-CN"/>
        </w:rPr>
        <w:t>山东光佑金属制造有限公司</w:t>
      </w:r>
      <w:r>
        <w:rPr>
          <w:rFonts w:hint="default" w:ascii="Times New Roman" w:hAnsi="Times New Roman" w:eastAsia="宋体" w:cs="Times New Roman"/>
          <w:color w:val="auto"/>
          <w:sz w:val="28"/>
          <w:szCs w:val="28"/>
          <w:highlight w:val="none"/>
        </w:rPr>
        <w:t>组织召开</w:t>
      </w:r>
      <w:r>
        <w:rPr>
          <w:rFonts w:hint="eastAsia" w:cs="Times New Roman"/>
          <w:color w:val="auto"/>
          <w:sz w:val="28"/>
          <w:szCs w:val="28"/>
          <w:highlight w:val="none"/>
          <w:lang w:val="en-US" w:eastAsia="zh-CN"/>
        </w:rPr>
        <w:t>年加工冲压件3000吨项目（一期）</w:t>
      </w:r>
      <w:r>
        <w:rPr>
          <w:rFonts w:hint="default" w:ascii="Times New Roman" w:hAnsi="Times New Roman" w:eastAsia="宋体" w:cs="Times New Roman"/>
          <w:color w:val="auto"/>
          <w:sz w:val="28"/>
          <w:szCs w:val="28"/>
          <w:highlight w:val="none"/>
        </w:rPr>
        <w:t>竣</w:t>
      </w:r>
      <w:r>
        <w:rPr>
          <w:rFonts w:hint="default" w:ascii="Times New Roman" w:hAnsi="Times New Roman" w:eastAsia="宋体" w:cs="Times New Roman"/>
          <w:color w:val="auto"/>
          <w:sz w:val="28"/>
          <w:szCs w:val="28"/>
        </w:rPr>
        <w:t>工环境保护验收现场检查及验收及验收会。验收工作组由工程建设单位（</w:t>
      </w:r>
      <w:r>
        <w:rPr>
          <w:rFonts w:hint="eastAsia" w:cs="Times New Roman"/>
          <w:color w:val="auto"/>
          <w:sz w:val="28"/>
          <w:szCs w:val="28"/>
          <w:lang w:val="en-US" w:eastAsia="zh-CN"/>
        </w:rPr>
        <w:t>山东光佑金属制造有限公司</w:t>
      </w:r>
      <w:r>
        <w:rPr>
          <w:rFonts w:hint="default" w:ascii="Times New Roman" w:hAnsi="Times New Roman" w:eastAsia="宋体" w:cs="Times New Roman"/>
          <w:color w:val="auto"/>
          <w:sz w:val="28"/>
          <w:szCs w:val="28"/>
        </w:rPr>
        <w:t>）、监测单位（</w:t>
      </w:r>
      <w:r>
        <w:rPr>
          <w:rFonts w:hint="default" w:ascii="Times New Roman" w:hAnsi="Times New Roman" w:eastAsia="宋体" w:cs="Times New Roman"/>
          <w:color w:val="auto"/>
          <w:sz w:val="28"/>
          <w:szCs w:val="28"/>
          <w:lang w:eastAsia="zh-CN"/>
        </w:rPr>
        <w:t>山东聊和环保科技有限公司</w:t>
      </w:r>
      <w:r>
        <w:rPr>
          <w:rFonts w:hint="default" w:ascii="Times New Roman" w:hAnsi="Times New Roman" w:eastAsia="宋体" w:cs="Times New Roman"/>
          <w:color w:val="auto"/>
          <w:sz w:val="28"/>
          <w:szCs w:val="28"/>
        </w:rPr>
        <w:t>）并特邀</w:t>
      </w:r>
      <w:r>
        <w:rPr>
          <w:rFonts w:hint="default" w:ascii="Times New Roman" w:hAnsi="Times New Roman" w:eastAsia="宋体" w:cs="Times New Roman"/>
          <w:color w:val="auto"/>
          <w:sz w:val="28"/>
          <w:szCs w:val="28"/>
          <w:lang w:val="en-US" w:eastAsia="zh-CN"/>
        </w:rPr>
        <w:t>2</w:t>
      </w:r>
      <w:r>
        <w:rPr>
          <w:rFonts w:hint="default" w:ascii="Times New Roman" w:hAnsi="Times New Roman" w:eastAsia="宋体" w:cs="Times New Roman"/>
          <w:color w:val="auto"/>
          <w:sz w:val="28"/>
          <w:szCs w:val="28"/>
        </w:rPr>
        <w:t>名技术专家（名单附后）组成。</w:t>
      </w:r>
    </w:p>
    <w:p>
      <w:pPr>
        <w:tabs>
          <w:tab w:val="left" w:pos="220"/>
        </w:tabs>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验收组现场查阅并核实了本项目运营期环保工作落实情况，根据项目竣工环境保护验收监测报告并对照《建设项目环境保护管理条例》、《建设项目竣工环境保护验收暂行办法》，严格依照国家有关法律法规、建设项目竣工环境保护验收技术规范、本项目环境影响评价报告表和审批部门审批决定等要求对本项目进行验收，经认真研究讨论形成环保验收意见，提出意见如下：</w:t>
      </w:r>
    </w:p>
    <w:p>
      <w:pPr>
        <w:tabs>
          <w:tab w:val="left" w:pos="220"/>
        </w:tabs>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一、工程建设基本情况</w:t>
      </w:r>
    </w:p>
    <w:p>
      <w:pPr>
        <w:tabs>
          <w:tab w:val="left" w:pos="220"/>
        </w:tabs>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（一）建设地点、规模、主要建设内容</w:t>
      </w:r>
    </w:p>
    <w:p>
      <w:pPr>
        <w:pStyle w:val="3"/>
        <w:numPr>
          <w:ilvl w:val="0"/>
          <w:numId w:val="0"/>
        </w:numPr>
        <w:spacing w:line="360" w:lineRule="auto"/>
        <w:ind w:left="233" w:leftChars="111" w:firstLine="604" w:firstLineChars="216"/>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8"/>
          <w:szCs w:val="28"/>
          <w:lang w:eastAsia="zh-CN"/>
        </w:rPr>
        <w:t>山东光佑金属制造有限公司，法定代表人汤合光，公司位于聊城经济技术开发区广平乡南周工业园8号车间。项目设计总投资</w:t>
      </w:r>
      <w:r>
        <w:rPr>
          <w:rFonts w:hint="default" w:ascii="Times New Roman" w:hAnsi="Times New Roman" w:eastAsia="宋体" w:cs="Times New Roman"/>
          <w:color w:val="auto"/>
          <w:sz w:val="28"/>
          <w:szCs w:val="28"/>
          <w:lang w:val="en-US" w:eastAsia="zh-CN"/>
        </w:rPr>
        <w:t>100万</w:t>
      </w:r>
      <w:r>
        <w:rPr>
          <w:rFonts w:hint="default" w:ascii="Times New Roman" w:hAnsi="Times New Roman" w:eastAsia="宋体" w:cs="Times New Roman"/>
          <w:color w:val="auto"/>
          <w:sz w:val="28"/>
          <w:szCs w:val="28"/>
          <w:lang w:eastAsia="zh-CN"/>
        </w:rPr>
        <w:t>元，总占地面积</w:t>
      </w:r>
      <w:r>
        <w:rPr>
          <w:rFonts w:hint="default" w:ascii="Times New Roman" w:hAnsi="Times New Roman" w:eastAsia="宋体" w:cs="Times New Roman"/>
          <w:color w:val="auto"/>
          <w:sz w:val="28"/>
          <w:szCs w:val="28"/>
          <w:lang w:val="en-US" w:eastAsia="zh-CN"/>
        </w:rPr>
        <w:t>1400m2，购置冲床、车床等设备，项目原料为钢板，利用冲压及精车加工等工序生产出冲压件，最后入库待售，</w:t>
      </w:r>
      <w:r>
        <w:rPr>
          <w:rFonts w:hint="default" w:ascii="Times New Roman" w:hAnsi="Times New Roman" w:eastAsia="宋体" w:cs="Times New Roman"/>
          <w:color w:val="auto"/>
          <w:sz w:val="28"/>
          <w:szCs w:val="28"/>
          <w:lang w:eastAsia="zh-CN"/>
        </w:rPr>
        <w:t>生产规模为</w:t>
      </w:r>
      <w:r>
        <w:rPr>
          <w:rFonts w:hint="default" w:ascii="Times New Roman" w:hAnsi="Times New Roman" w:eastAsia="宋体" w:cs="Times New Roman"/>
          <w:color w:val="auto"/>
          <w:sz w:val="28"/>
          <w:szCs w:val="28"/>
          <w:lang w:val="en-US" w:eastAsia="zh-CN"/>
        </w:rPr>
        <w:t>年加工3000吨冲压件。</w:t>
      </w:r>
    </w:p>
    <w:p>
      <w:pPr>
        <w:pStyle w:val="3"/>
        <w:numPr>
          <w:ilvl w:val="0"/>
          <w:numId w:val="0"/>
        </w:numPr>
        <w:spacing w:line="360" w:lineRule="auto"/>
        <w:ind w:left="233" w:leftChars="111" w:firstLine="604" w:firstLineChars="216"/>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8"/>
          <w:szCs w:val="28"/>
          <w:lang w:val="en-US" w:eastAsia="zh-CN"/>
        </w:rPr>
        <w:t>由于企业资金问题，实际设备冲床数量比环评设计数量少两台，故项目分期验收，本次验收为一期，总投资65万，生产规模为年加工1800吨冲压件</w:t>
      </w:r>
      <w:r>
        <w:rPr>
          <w:rFonts w:hint="default" w:ascii="Times New Roman" w:hAnsi="Times New Roman" w:eastAsia="宋体" w:cs="Times New Roman"/>
          <w:color w:val="auto"/>
          <w:sz w:val="28"/>
          <w:szCs w:val="28"/>
          <w:lang w:eastAsia="zh-CN"/>
        </w:rPr>
        <w:t>。</w:t>
      </w:r>
    </w:p>
    <w:p>
      <w:pPr>
        <w:tabs>
          <w:tab w:val="left" w:pos="220"/>
        </w:tabs>
        <w:spacing w:line="360" w:lineRule="auto"/>
        <w:ind w:left="233" w:leftChars="111" w:firstLine="604" w:firstLineChars="216"/>
        <w:jc w:val="left"/>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（二）环保审批情况</w:t>
      </w:r>
    </w:p>
    <w:p>
      <w:pPr>
        <w:spacing w:line="360" w:lineRule="auto"/>
        <w:ind w:left="233" w:leftChars="111" w:firstLine="604" w:firstLineChars="216"/>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本项目为新建。2019年12月山东光佑金属制造有限公司委托聊城市润森环保有限公司编制了《山东光佑金属制造有限公司年加工冲压件3000吨项目环境影响报告表》，2020年1月10日聊城市生态环境局经济技术开发区分局以聊开环报告表[2020]4号对其进行了审批。2020年2月公司委托山东聊和环保科技有限公司进行该项目的环保验收监测工作，接受委托后山东聊和环保科技有限公司组织有关技术人员进行现场踏勘，依据监测技术规范制定了环保验收监测方案，并于2020年02月28日-29日对该企业进行了验收监测，根据验收监测结果和现场检查情况编制了</w:t>
      </w:r>
      <w:r>
        <w:rPr>
          <w:rFonts w:hint="eastAsia" w:cs="Times New Roman"/>
          <w:color w:val="auto"/>
          <w:kern w:val="2"/>
          <w:sz w:val="28"/>
          <w:szCs w:val="28"/>
          <w:lang w:val="en-US" w:eastAsia="zh-CN" w:bidi="ar-SA"/>
        </w:rPr>
        <w:t>该</w:t>
      </w:r>
      <w:r>
        <w:rPr>
          <w:rFonts w:hint="default" w:ascii="Times New Roman" w:hAnsi="Times New Roman" w:eastAsia="宋体" w:cs="Times New Roman"/>
          <w:color w:val="auto"/>
          <w:kern w:val="2"/>
          <w:sz w:val="28"/>
          <w:szCs w:val="28"/>
          <w:lang w:val="en-US" w:eastAsia="zh-CN" w:bidi="ar-SA"/>
        </w:rPr>
        <w:t>项目验收监测报告。</w:t>
      </w:r>
    </w:p>
    <w:p>
      <w:pPr>
        <w:tabs>
          <w:tab w:val="left" w:pos="220"/>
        </w:tabs>
        <w:spacing w:line="360" w:lineRule="auto"/>
        <w:ind w:left="233" w:leftChars="111" w:firstLine="604" w:firstLineChars="216"/>
        <w:jc w:val="left"/>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（三）投资情况</w:t>
      </w:r>
    </w:p>
    <w:p>
      <w:pPr>
        <w:tabs>
          <w:tab w:val="left" w:pos="220"/>
        </w:tabs>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项目</w:t>
      </w:r>
      <w:r>
        <w:rPr>
          <w:rFonts w:hint="eastAsia" w:cs="Times New Roman"/>
          <w:color w:val="auto"/>
          <w:sz w:val="28"/>
          <w:szCs w:val="28"/>
          <w:lang w:eastAsia="zh-CN"/>
        </w:rPr>
        <w:t>一期</w:t>
      </w:r>
      <w:r>
        <w:rPr>
          <w:rFonts w:hint="default" w:ascii="Times New Roman" w:hAnsi="Times New Roman" w:eastAsia="宋体" w:cs="Times New Roman"/>
          <w:color w:val="auto"/>
          <w:sz w:val="28"/>
          <w:szCs w:val="28"/>
        </w:rPr>
        <w:t>实际总投资</w:t>
      </w:r>
      <w:r>
        <w:rPr>
          <w:rFonts w:hint="eastAsia" w:cs="Times New Roman"/>
          <w:color w:val="auto"/>
          <w:sz w:val="28"/>
          <w:szCs w:val="28"/>
          <w:lang w:val="en-US" w:eastAsia="zh-CN"/>
        </w:rPr>
        <w:t>65</w:t>
      </w:r>
      <w:r>
        <w:rPr>
          <w:rFonts w:hint="default" w:ascii="Times New Roman" w:hAnsi="Times New Roman" w:eastAsia="宋体" w:cs="Times New Roman"/>
          <w:color w:val="auto"/>
          <w:sz w:val="28"/>
          <w:szCs w:val="28"/>
          <w:lang w:val="en-US" w:eastAsia="zh-CN"/>
        </w:rPr>
        <w:t>万</w:t>
      </w:r>
      <w:r>
        <w:rPr>
          <w:rFonts w:hint="default" w:ascii="Times New Roman" w:hAnsi="Times New Roman" w:eastAsia="宋体" w:cs="Times New Roman"/>
          <w:color w:val="auto"/>
          <w:sz w:val="28"/>
          <w:szCs w:val="28"/>
        </w:rPr>
        <w:t>元，其中环保投资</w:t>
      </w:r>
      <w:r>
        <w:rPr>
          <w:rFonts w:hint="eastAsia" w:cs="Times New Roman"/>
          <w:color w:val="auto"/>
          <w:sz w:val="28"/>
          <w:szCs w:val="28"/>
          <w:lang w:val="en-US" w:eastAsia="zh-CN"/>
        </w:rPr>
        <w:t>5</w:t>
      </w:r>
      <w:r>
        <w:rPr>
          <w:rFonts w:hint="default" w:ascii="Times New Roman" w:hAnsi="Times New Roman" w:eastAsia="宋体" w:cs="Times New Roman"/>
          <w:color w:val="auto"/>
          <w:sz w:val="28"/>
          <w:szCs w:val="28"/>
        </w:rPr>
        <w:t>万元。占总投资</w:t>
      </w:r>
      <w:r>
        <w:rPr>
          <w:rFonts w:hint="eastAsia" w:cs="Times New Roman"/>
          <w:color w:val="auto"/>
          <w:sz w:val="28"/>
          <w:szCs w:val="28"/>
          <w:lang w:val="en-US" w:eastAsia="zh-CN"/>
        </w:rPr>
        <w:t>8</w:t>
      </w:r>
      <w:r>
        <w:rPr>
          <w:rFonts w:hint="default" w:ascii="Times New Roman" w:hAnsi="Times New Roman" w:eastAsia="宋体" w:cs="Times New Roman"/>
          <w:color w:val="auto"/>
          <w:sz w:val="28"/>
          <w:szCs w:val="28"/>
        </w:rPr>
        <w:t>％。</w:t>
      </w:r>
    </w:p>
    <w:p>
      <w:pPr>
        <w:tabs>
          <w:tab w:val="left" w:pos="220"/>
        </w:tabs>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（四）验收范围</w:t>
      </w:r>
    </w:p>
    <w:p>
      <w:pPr>
        <w:tabs>
          <w:tab w:val="left" w:pos="220"/>
        </w:tabs>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本次验收的范围为</w:t>
      </w:r>
      <w:r>
        <w:rPr>
          <w:rFonts w:hint="default" w:ascii="Times New Roman" w:hAnsi="Times New Roman" w:eastAsia="宋体" w:cs="Times New Roman"/>
          <w:color w:val="auto"/>
          <w:sz w:val="28"/>
          <w:szCs w:val="28"/>
          <w:lang w:eastAsia="zh-CN"/>
        </w:rPr>
        <w:t>年加工1800吨冲压件</w:t>
      </w:r>
      <w:r>
        <w:rPr>
          <w:rFonts w:hint="default" w:ascii="Times New Roman" w:hAnsi="Times New Roman" w:eastAsia="宋体" w:cs="Times New Roman"/>
          <w:color w:val="auto"/>
          <w:sz w:val="28"/>
          <w:szCs w:val="28"/>
          <w:lang w:val="en-US" w:eastAsia="zh-CN"/>
        </w:rPr>
        <w:t>生产设备</w:t>
      </w:r>
      <w:r>
        <w:rPr>
          <w:rFonts w:hint="default" w:ascii="Times New Roman" w:hAnsi="Times New Roman" w:eastAsia="宋体" w:cs="Times New Roman"/>
          <w:color w:val="auto"/>
          <w:sz w:val="28"/>
          <w:szCs w:val="28"/>
        </w:rPr>
        <w:t>及其配套环保设施。</w:t>
      </w:r>
    </w:p>
    <w:p>
      <w:pPr>
        <w:tabs>
          <w:tab w:val="left" w:pos="220"/>
        </w:tabs>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二、工程变更情况</w:t>
      </w:r>
    </w:p>
    <w:p>
      <w:pPr>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lang w:val="en-US" w:eastAsia="zh-CN"/>
        </w:rPr>
        <w:t>通过现场调查，对照环评报告及审批意见，冲床实际比环评设计数量少两台，故分期验收，本次验收为一期。未影响综合产能。本项目生产性质、生产规模、生产地点、生产工艺及环保设施均无明显变动，根据《关于印发环评管理中部分行业建设项目重大变动清单的通知》环办[2015]52号，项目不涉及重大变更</w:t>
      </w:r>
      <w:r>
        <w:rPr>
          <w:rFonts w:hint="default" w:ascii="Times New Roman" w:hAnsi="Times New Roman" w:eastAsia="宋体" w:cs="Times New Roman"/>
          <w:color w:val="auto"/>
          <w:sz w:val="28"/>
          <w:szCs w:val="28"/>
        </w:rPr>
        <w:t>。</w:t>
      </w:r>
    </w:p>
    <w:p>
      <w:pPr>
        <w:tabs>
          <w:tab w:val="left" w:pos="220"/>
        </w:tabs>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eastAsia" w:cs="Times New Roman"/>
          <w:color w:val="auto"/>
          <w:sz w:val="28"/>
          <w:szCs w:val="28"/>
          <w:lang w:eastAsia="zh-CN"/>
        </w:rPr>
        <w:t>三、</w:t>
      </w:r>
      <w:r>
        <w:rPr>
          <w:rFonts w:hint="default" w:ascii="Times New Roman" w:hAnsi="Times New Roman" w:eastAsia="宋体" w:cs="Times New Roman"/>
          <w:color w:val="auto"/>
          <w:sz w:val="28"/>
          <w:szCs w:val="28"/>
        </w:rPr>
        <w:t>环境保护设施落实情况</w:t>
      </w:r>
    </w:p>
    <w:p>
      <w:pPr>
        <w:pStyle w:val="9"/>
        <w:spacing w:beforeLines="50" w:line="360" w:lineRule="auto"/>
        <w:ind w:left="233" w:leftChars="111" w:firstLine="604" w:firstLineChars="216"/>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（一）废水污染源及其治理措施</w:t>
      </w:r>
    </w:p>
    <w:p>
      <w:pPr>
        <w:widowControl/>
        <w:spacing w:line="360" w:lineRule="auto"/>
        <w:ind w:left="233" w:leftChars="111" w:firstLine="604" w:firstLineChars="216"/>
        <w:jc w:val="left"/>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项目废水主要为生活污水，排入新型环保厕所，由环卫部门定期清运、无害化处置。</w:t>
      </w:r>
    </w:p>
    <w:p>
      <w:pPr>
        <w:widowControl/>
        <w:spacing w:line="360" w:lineRule="auto"/>
        <w:ind w:left="233" w:leftChars="111" w:firstLine="604" w:firstLineChars="216"/>
        <w:jc w:val="left"/>
        <w:rPr>
          <w:rFonts w:hint="default" w:ascii="Times New Roman" w:hAnsi="Times New Roman" w:eastAsia="宋体" w:cs="Times New Roman"/>
          <w:color w:val="auto"/>
          <w:kern w:val="2"/>
          <w:sz w:val="28"/>
          <w:szCs w:val="28"/>
          <w:lang w:val="en-US" w:eastAsia="zh-CN" w:bidi="ar-SA"/>
        </w:rPr>
      </w:pPr>
      <w:r>
        <w:rPr>
          <w:rFonts w:hint="default" w:ascii="Times New Roman" w:hAnsi="Times New Roman" w:eastAsia="宋体" w:cs="Times New Roman"/>
          <w:color w:val="auto"/>
          <w:kern w:val="2"/>
          <w:sz w:val="28"/>
          <w:szCs w:val="28"/>
          <w:lang w:val="en-US" w:eastAsia="zh-CN" w:bidi="ar-SA"/>
        </w:rPr>
        <w:t>（二）废气污染源及其治理措施</w:t>
      </w:r>
    </w:p>
    <w:p>
      <w:pPr>
        <w:spacing w:line="360" w:lineRule="auto"/>
        <w:ind w:left="233" w:leftChars="111" w:firstLine="604" w:firstLineChars="216"/>
        <w:jc w:val="left"/>
        <w:rPr>
          <w:rFonts w:hint="default" w:ascii="Times New Roman" w:hAnsi="Times New Roman" w:eastAsia="宋体" w:cs="Times New Roman"/>
          <w:snapToGrid w:val="0"/>
          <w:color w:val="auto"/>
          <w:kern w:val="0"/>
          <w:sz w:val="28"/>
          <w:szCs w:val="28"/>
          <w:lang w:val="en-US" w:eastAsia="zh-CN"/>
        </w:rPr>
      </w:pPr>
      <w:r>
        <w:rPr>
          <w:rFonts w:hint="default" w:ascii="Times New Roman" w:hAnsi="Times New Roman" w:eastAsia="宋体" w:cs="Times New Roman"/>
          <w:snapToGrid w:val="0"/>
          <w:color w:val="auto"/>
          <w:kern w:val="0"/>
          <w:sz w:val="28"/>
          <w:szCs w:val="28"/>
          <w:lang w:val="en-US" w:eastAsia="zh-CN"/>
        </w:rPr>
        <w:t>项目无生产废气。</w:t>
      </w:r>
    </w:p>
    <w:p>
      <w:pPr>
        <w:spacing w:line="360" w:lineRule="auto"/>
        <w:ind w:left="233" w:leftChars="111" w:firstLine="604" w:firstLineChars="216"/>
        <w:jc w:val="left"/>
        <w:rPr>
          <w:rFonts w:hint="default" w:ascii="Times New Roman" w:hAnsi="Times New Roman" w:eastAsia="宋体" w:cs="Times New Roman"/>
          <w:snapToGrid w:val="0"/>
          <w:color w:val="auto"/>
          <w:kern w:val="0"/>
          <w:sz w:val="28"/>
          <w:szCs w:val="28"/>
          <w:lang w:val="en-US" w:eastAsia="zh-CN"/>
        </w:rPr>
      </w:pPr>
      <w:r>
        <w:rPr>
          <w:rFonts w:hint="default" w:ascii="Times New Roman" w:hAnsi="Times New Roman" w:eastAsia="宋体" w:cs="Times New Roman"/>
          <w:snapToGrid w:val="0"/>
          <w:color w:val="auto"/>
          <w:kern w:val="0"/>
          <w:sz w:val="28"/>
          <w:szCs w:val="28"/>
          <w:lang w:val="en-US" w:eastAsia="zh-CN"/>
        </w:rPr>
        <w:t>（三）噪声</w:t>
      </w:r>
    </w:p>
    <w:p>
      <w:pPr>
        <w:spacing w:line="360" w:lineRule="auto"/>
        <w:ind w:left="233" w:leftChars="111" w:firstLine="604" w:firstLineChars="216"/>
        <w:jc w:val="left"/>
        <w:rPr>
          <w:rFonts w:hint="default" w:ascii="Times New Roman" w:hAnsi="Times New Roman" w:eastAsia="宋体" w:cs="Times New Roman"/>
          <w:snapToGrid w:val="0"/>
          <w:color w:val="auto"/>
          <w:kern w:val="0"/>
          <w:sz w:val="28"/>
          <w:szCs w:val="28"/>
          <w:lang w:val="en-US" w:eastAsia="zh-CN"/>
        </w:rPr>
      </w:pPr>
      <w:r>
        <w:rPr>
          <w:rFonts w:hint="default" w:ascii="Times New Roman" w:hAnsi="Times New Roman" w:eastAsia="宋体" w:cs="Times New Roman"/>
          <w:snapToGrid w:val="0"/>
          <w:color w:val="auto"/>
          <w:kern w:val="0"/>
          <w:sz w:val="28"/>
          <w:szCs w:val="28"/>
          <w:lang w:val="en-US" w:eastAsia="zh-CN"/>
        </w:rPr>
        <w:t xml:space="preserve">项目噪声主要是冲床、车床、空气压缩机等设备运转噪声，经采取项目区内优化平面布置，选用低噪声设备，对车间采取隔音、减震处理等措施，降低对外环境的影响。 </w:t>
      </w:r>
    </w:p>
    <w:p>
      <w:pPr>
        <w:spacing w:line="360" w:lineRule="auto"/>
        <w:ind w:left="233" w:leftChars="111" w:firstLine="604" w:firstLineChars="216"/>
        <w:jc w:val="left"/>
        <w:rPr>
          <w:rFonts w:hint="default" w:ascii="Times New Roman" w:hAnsi="Times New Roman" w:eastAsia="宋体" w:cs="Times New Roman"/>
          <w:color w:val="auto"/>
          <w:sz w:val="28"/>
          <w:szCs w:val="28"/>
          <w:lang w:eastAsia="zh-CN"/>
        </w:rPr>
      </w:pPr>
      <w:r>
        <w:rPr>
          <w:rFonts w:hint="default" w:ascii="Times New Roman" w:hAnsi="Times New Roman" w:eastAsia="宋体" w:cs="Times New Roman"/>
          <w:color w:val="auto"/>
          <w:sz w:val="28"/>
          <w:szCs w:val="28"/>
        </w:rPr>
        <w:t>（四）固体废物</w:t>
      </w:r>
    </w:p>
    <w:p>
      <w:pPr>
        <w:pStyle w:val="9"/>
        <w:numPr>
          <w:ilvl w:val="0"/>
          <w:numId w:val="0"/>
        </w:numPr>
        <w:spacing w:line="360" w:lineRule="auto"/>
        <w:ind w:left="233" w:leftChars="111" w:firstLine="604" w:firstLineChars="216"/>
        <w:jc w:val="left"/>
        <w:rPr>
          <w:rFonts w:hint="default" w:ascii="Times New Roman" w:hAnsi="Times New Roman" w:eastAsia="宋体" w:cs="Times New Roman"/>
          <w:snapToGrid w:val="0"/>
          <w:color w:val="auto"/>
          <w:kern w:val="0"/>
          <w:sz w:val="28"/>
          <w:szCs w:val="28"/>
          <w:lang w:val="en-US" w:eastAsia="zh-CN" w:bidi="ar-SA"/>
        </w:rPr>
      </w:pPr>
      <w:r>
        <w:rPr>
          <w:rFonts w:hint="default" w:ascii="Times New Roman" w:hAnsi="Times New Roman" w:eastAsia="宋体" w:cs="Times New Roman"/>
          <w:snapToGrid w:val="0"/>
          <w:color w:val="auto"/>
          <w:kern w:val="0"/>
          <w:sz w:val="28"/>
          <w:szCs w:val="28"/>
          <w:lang w:val="en-US" w:eastAsia="zh-CN" w:bidi="ar-SA"/>
        </w:rPr>
        <w:t>本项目固体废物主要是下脚料和生活垃圾。下脚料产生量约1800t/a，外售综合利用；生活垃圾产生量约1.05t/a，委托环卫部门清运。</w:t>
      </w:r>
    </w:p>
    <w:p>
      <w:pPr>
        <w:pStyle w:val="9"/>
        <w:numPr>
          <w:ilvl w:val="0"/>
          <w:numId w:val="0"/>
        </w:numPr>
        <w:spacing w:line="360" w:lineRule="auto"/>
        <w:ind w:left="233" w:leftChars="111" w:firstLine="604" w:firstLineChars="216"/>
        <w:jc w:val="left"/>
        <w:rPr>
          <w:rFonts w:hint="default" w:ascii="Times New Roman" w:hAnsi="Times New Roman" w:eastAsia="宋体" w:cs="Times New Roman"/>
          <w:snapToGrid w:val="0"/>
          <w:color w:val="auto"/>
          <w:kern w:val="0"/>
          <w:sz w:val="28"/>
          <w:szCs w:val="28"/>
          <w:lang w:val="en-US" w:eastAsia="zh-CN" w:bidi="ar-SA"/>
        </w:rPr>
      </w:pPr>
      <w:r>
        <w:rPr>
          <w:rFonts w:hint="default" w:ascii="Times New Roman" w:hAnsi="Times New Roman" w:eastAsia="宋体" w:cs="Times New Roman"/>
          <w:snapToGrid w:val="0"/>
          <w:color w:val="auto"/>
          <w:kern w:val="0"/>
          <w:sz w:val="28"/>
          <w:szCs w:val="28"/>
          <w:lang w:val="en-US" w:eastAsia="zh-CN" w:bidi="ar-SA"/>
        </w:rPr>
        <w:t>四、验收监测结果</w:t>
      </w:r>
    </w:p>
    <w:p>
      <w:pPr>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（一）环保设施运行检测结果</w:t>
      </w:r>
    </w:p>
    <w:p>
      <w:pPr>
        <w:widowControl/>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lang w:eastAsia="zh-CN"/>
        </w:rPr>
        <w:t>山东聊和环保科技有限公司</w:t>
      </w:r>
      <w:r>
        <w:rPr>
          <w:rFonts w:hint="default" w:ascii="Times New Roman" w:hAnsi="Times New Roman" w:eastAsia="宋体" w:cs="Times New Roman"/>
          <w:color w:val="auto"/>
          <w:sz w:val="28"/>
          <w:szCs w:val="28"/>
        </w:rPr>
        <w:t>出具的</w:t>
      </w:r>
      <w:r>
        <w:rPr>
          <w:rFonts w:hint="default" w:ascii="Times New Roman" w:hAnsi="Times New Roman" w:eastAsia="宋体" w:cs="Times New Roman"/>
          <w:b w:val="0"/>
          <w:bCs w:val="0"/>
          <w:color w:val="auto"/>
          <w:sz w:val="28"/>
          <w:szCs w:val="28"/>
        </w:rPr>
        <w:t>《</w:t>
      </w:r>
      <w:r>
        <w:rPr>
          <w:rFonts w:hint="eastAsia" w:cs="Times New Roman"/>
          <w:b w:val="0"/>
          <w:bCs w:val="0"/>
          <w:color w:val="auto"/>
          <w:sz w:val="28"/>
          <w:szCs w:val="28"/>
          <w:lang w:val="en-US" w:eastAsia="zh-CN"/>
        </w:rPr>
        <w:t>山东光佑金属制造有限公司年加工冲压件3000吨项目</w:t>
      </w:r>
      <w:r>
        <w:rPr>
          <w:rFonts w:hint="default" w:ascii="Times New Roman" w:hAnsi="Times New Roman" w:eastAsia="宋体" w:cs="Times New Roman"/>
          <w:color w:val="auto"/>
          <w:sz w:val="28"/>
          <w:szCs w:val="28"/>
        </w:rPr>
        <w:t>竣工环境保护验收监测报告》监测结果表明：</w:t>
      </w:r>
    </w:p>
    <w:p>
      <w:pPr>
        <w:numPr>
          <w:ilvl w:val="0"/>
          <w:numId w:val="1"/>
        </w:numPr>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lang w:eastAsia="zh-CN"/>
        </w:rPr>
        <w:t>废水</w:t>
      </w:r>
    </w:p>
    <w:p>
      <w:pPr>
        <w:spacing w:line="360" w:lineRule="auto"/>
        <w:ind w:left="233" w:leftChars="111" w:firstLine="604" w:firstLineChars="216"/>
        <w:rPr>
          <w:rFonts w:hint="default" w:ascii="Times New Roman" w:hAnsi="Times New Roman" w:eastAsia="宋体" w:cs="Times New Roman"/>
          <w:b w:val="0"/>
          <w:bCs w:val="0"/>
          <w:color w:val="auto"/>
          <w:sz w:val="28"/>
          <w:szCs w:val="28"/>
          <w:lang w:val="en-US" w:eastAsia="zh-CN"/>
        </w:rPr>
      </w:pPr>
      <w:r>
        <w:rPr>
          <w:rFonts w:hint="eastAsia" w:cs="Times New Roman"/>
          <w:color w:val="auto"/>
          <w:sz w:val="28"/>
          <w:szCs w:val="28"/>
          <w:lang w:val="en-US" w:eastAsia="zh-CN"/>
        </w:rPr>
        <w:t>同上文三、（一）</w:t>
      </w:r>
      <w:r>
        <w:rPr>
          <w:rFonts w:hint="default" w:ascii="Times New Roman" w:hAnsi="Times New Roman" w:eastAsia="宋体" w:cs="Times New Roman"/>
          <w:color w:val="auto"/>
          <w:sz w:val="28"/>
          <w:szCs w:val="28"/>
          <w:lang w:val="en-US" w:eastAsia="zh-CN"/>
        </w:rPr>
        <w:t>。</w:t>
      </w:r>
    </w:p>
    <w:p>
      <w:pPr>
        <w:numPr>
          <w:ilvl w:val="0"/>
          <w:numId w:val="2"/>
        </w:numPr>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废气</w:t>
      </w:r>
    </w:p>
    <w:p>
      <w:pPr>
        <w:spacing w:line="360" w:lineRule="auto"/>
        <w:ind w:left="233" w:leftChars="111" w:firstLine="604" w:firstLineChars="216"/>
        <w:rPr>
          <w:rFonts w:hint="default" w:ascii="Times New Roman" w:hAnsi="Times New Roman" w:eastAsia="宋体" w:cs="Times New Roman"/>
          <w:color w:val="auto"/>
          <w:kern w:val="2"/>
          <w:sz w:val="28"/>
          <w:szCs w:val="28"/>
          <w:lang w:val="en-US" w:eastAsia="zh-CN" w:bidi="ar-SA"/>
        </w:rPr>
      </w:pPr>
      <w:r>
        <w:rPr>
          <w:rFonts w:hint="eastAsia" w:cs="Times New Roman"/>
          <w:color w:val="auto"/>
          <w:sz w:val="28"/>
          <w:szCs w:val="28"/>
          <w:lang w:val="en-US" w:eastAsia="zh-CN"/>
        </w:rPr>
        <w:t>同上文三、（二）</w:t>
      </w:r>
      <w:r>
        <w:rPr>
          <w:rFonts w:hint="default" w:ascii="Times New Roman" w:hAnsi="Times New Roman" w:eastAsia="宋体" w:cs="Times New Roman"/>
          <w:color w:val="auto"/>
          <w:sz w:val="28"/>
          <w:szCs w:val="28"/>
          <w:lang w:val="en-US" w:eastAsia="zh-CN"/>
        </w:rPr>
        <w:t>。</w:t>
      </w:r>
    </w:p>
    <w:p>
      <w:pPr>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lang w:val="en-US" w:eastAsia="zh-CN"/>
        </w:rPr>
        <w:t>3</w:t>
      </w:r>
      <w:r>
        <w:rPr>
          <w:rFonts w:hint="default" w:ascii="Times New Roman" w:hAnsi="Times New Roman" w:eastAsia="宋体" w:cs="Times New Roman"/>
          <w:color w:val="auto"/>
          <w:sz w:val="28"/>
          <w:szCs w:val="28"/>
        </w:rPr>
        <w:t>. 噪声</w:t>
      </w:r>
    </w:p>
    <w:p>
      <w:pPr>
        <w:spacing w:line="360" w:lineRule="auto"/>
        <w:ind w:left="216" w:leftChars="103" w:firstLine="560" w:firstLineChars="200"/>
        <w:rPr>
          <w:rFonts w:hint="default" w:ascii="Times New Roman" w:hAnsi="Times New Roman" w:eastAsia="宋体" w:cs="Times New Roman"/>
          <w:color w:val="000000"/>
          <w:kern w:val="2"/>
          <w:sz w:val="28"/>
          <w:szCs w:val="28"/>
          <w:lang w:val="en-US" w:eastAsia="zh-CN" w:bidi="ar-SA"/>
        </w:rPr>
      </w:pPr>
      <w:r>
        <w:rPr>
          <w:rFonts w:hint="default" w:ascii="Times New Roman" w:hAnsi="Times New Roman" w:eastAsia="宋体" w:cs="Times New Roman"/>
          <w:color w:val="000000"/>
          <w:kern w:val="2"/>
          <w:sz w:val="28"/>
          <w:szCs w:val="28"/>
          <w:lang w:val="en-US" w:eastAsia="zh-CN" w:bidi="ar-SA"/>
        </w:rPr>
        <w:t>验收监测期间，监测点位昼间噪声在52.6-57.8(dB)之间，夜间不生产，符合《工业企业厂界环境噪声排放标准》（GB12348－2008）中的2类标准要求。</w:t>
      </w:r>
    </w:p>
    <w:p>
      <w:pPr>
        <w:numPr>
          <w:ilvl w:val="0"/>
          <w:numId w:val="3"/>
        </w:numPr>
        <w:spacing w:line="360" w:lineRule="auto"/>
        <w:ind w:left="233" w:leftChars="111" w:firstLine="604" w:firstLineChars="216"/>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固体废物</w:t>
      </w:r>
    </w:p>
    <w:p>
      <w:pPr>
        <w:spacing w:line="360" w:lineRule="auto"/>
        <w:ind w:left="233" w:leftChars="111" w:firstLine="604" w:firstLineChars="216"/>
        <w:rPr>
          <w:rFonts w:hint="default" w:ascii="Times New Roman" w:hAnsi="Times New Roman" w:eastAsia="宋体" w:cs="Times New Roman"/>
          <w:color w:val="auto"/>
          <w:sz w:val="28"/>
          <w:szCs w:val="28"/>
        </w:rPr>
      </w:pPr>
      <w:r>
        <w:rPr>
          <w:rFonts w:hint="eastAsia" w:cs="Times New Roman"/>
          <w:color w:val="auto"/>
          <w:sz w:val="28"/>
          <w:szCs w:val="28"/>
          <w:lang w:val="zh-CN" w:eastAsia="zh-CN"/>
        </w:rPr>
        <w:t>同上文三、（四）</w:t>
      </w:r>
      <w:r>
        <w:rPr>
          <w:rFonts w:hint="default" w:ascii="Times New Roman" w:hAnsi="Times New Roman" w:eastAsia="宋体" w:cs="Times New Roman"/>
          <w:color w:val="auto"/>
          <w:sz w:val="28"/>
          <w:szCs w:val="28"/>
        </w:rPr>
        <w:t>。</w:t>
      </w:r>
    </w:p>
    <w:p>
      <w:pPr>
        <w:spacing w:beforeLines="50" w:line="360" w:lineRule="auto"/>
        <w:ind w:left="233" w:leftChars="111" w:firstLine="604" w:firstLineChars="216"/>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（二）环境管理调查</w:t>
      </w:r>
    </w:p>
    <w:p>
      <w:pPr>
        <w:spacing w:line="360" w:lineRule="auto"/>
        <w:ind w:left="233" w:leftChars="111" w:firstLine="604" w:firstLineChars="216"/>
        <w:rPr>
          <w:rFonts w:hint="default" w:ascii="Times New Roman" w:hAnsi="Times New Roman" w:eastAsia="宋体" w:cs="Times New Roman"/>
          <w:color w:val="auto"/>
          <w:sz w:val="28"/>
          <w:szCs w:val="28"/>
        </w:rPr>
      </w:pPr>
      <w:r>
        <w:rPr>
          <w:rFonts w:hint="eastAsia" w:cs="Times New Roman"/>
          <w:color w:val="auto"/>
          <w:sz w:val="28"/>
          <w:szCs w:val="28"/>
          <w:lang w:eastAsia="zh-CN"/>
        </w:rPr>
        <w:t>山东光佑金属制造有限公司</w:t>
      </w:r>
      <w:r>
        <w:rPr>
          <w:rFonts w:hint="default" w:ascii="Times New Roman" w:hAnsi="Times New Roman" w:eastAsia="宋体" w:cs="Times New Roman"/>
          <w:color w:val="auto"/>
          <w:sz w:val="28"/>
          <w:szCs w:val="28"/>
        </w:rPr>
        <w:t>制定了《</w:t>
      </w:r>
      <w:r>
        <w:rPr>
          <w:rFonts w:hint="eastAsia" w:cs="Times New Roman"/>
          <w:color w:val="auto"/>
          <w:sz w:val="28"/>
          <w:szCs w:val="28"/>
          <w:lang w:eastAsia="zh-CN"/>
        </w:rPr>
        <w:t>山东光佑金属制造有限公司</w:t>
      </w:r>
      <w:r>
        <w:rPr>
          <w:rFonts w:hint="default" w:ascii="Times New Roman" w:hAnsi="Times New Roman" w:eastAsia="宋体" w:cs="Times New Roman"/>
          <w:color w:val="auto"/>
          <w:sz w:val="28"/>
          <w:szCs w:val="28"/>
        </w:rPr>
        <w:t>环保管理制度》</w:t>
      </w:r>
      <w:r>
        <w:rPr>
          <w:rFonts w:hint="default" w:ascii="Times New Roman" w:hAnsi="Times New Roman" w:eastAsia="宋体" w:cs="Times New Roman"/>
          <w:color w:val="auto"/>
          <w:sz w:val="28"/>
          <w:szCs w:val="28"/>
          <w:lang w:eastAsia="zh-CN"/>
        </w:rPr>
        <w:t>，</w:t>
      </w:r>
      <w:r>
        <w:rPr>
          <w:rFonts w:hint="default" w:ascii="Times New Roman" w:hAnsi="Times New Roman" w:eastAsia="宋体" w:cs="Times New Roman"/>
          <w:color w:val="auto"/>
          <w:sz w:val="28"/>
          <w:szCs w:val="28"/>
        </w:rPr>
        <w:t>并设立了相关机构。日常工作由</w:t>
      </w:r>
      <w:r>
        <w:rPr>
          <w:rFonts w:hint="eastAsia" w:ascii="Times New Roman" w:hAnsi="Times New Roman" w:eastAsia="宋体" w:cs="Times New Roman"/>
          <w:color w:val="auto"/>
          <w:sz w:val="28"/>
          <w:szCs w:val="28"/>
          <w:lang w:eastAsia="zh-CN"/>
        </w:rPr>
        <w:t>办公室</w:t>
      </w:r>
      <w:r>
        <w:rPr>
          <w:rFonts w:hint="default" w:ascii="Times New Roman" w:hAnsi="Times New Roman" w:eastAsia="宋体" w:cs="Times New Roman"/>
          <w:color w:val="auto"/>
          <w:sz w:val="28"/>
          <w:szCs w:val="28"/>
        </w:rPr>
        <w:t>管理，其主要职责是：行使公司环保工作的计划、组织、指挥、协调、检查和考核管理职能，日常一切工作须对公司负责。</w:t>
      </w:r>
    </w:p>
    <w:p>
      <w:pPr>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五、专家意见：</w:t>
      </w:r>
    </w:p>
    <w:p>
      <w:pPr>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在今后企业环保工作中，建议企业落实以下要求。</w:t>
      </w:r>
    </w:p>
    <w:p>
      <w:pPr>
        <w:pStyle w:val="5"/>
        <w:numPr>
          <w:ilvl w:val="0"/>
          <w:numId w:val="4"/>
        </w:numPr>
        <w:spacing w:line="360" w:lineRule="auto"/>
        <w:ind w:left="233" w:leftChars="111" w:firstLine="604" w:firstLineChars="216"/>
        <w:rPr>
          <w:rFonts w:hint="default" w:ascii="Times New Roman" w:hAnsi="Times New Roman" w:eastAsia="宋体" w:cs="Times New Roman"/>
          <w:color w:val="auto"/>
          <w:sz w:val="28"/>
          <w:szCs w:val="28"/>
          <w:lang w:val="en-US" w:eastAsia="zh-CN"/>
        </w:rPr>
      </w:pPr>
      <w:r>
        <w:rPr>
          <w:rFonts w:hint="eastAsia" w:ascii="Times New Roman" w:hAnsi="Times New Roman" w:cs="Times New Roman"/>
          <w:color w:val="auto"/>
          <w:sz w:val="28"/>
          <w:szCs w:val="28"/>
          <w:lang w:val="en-US" w:eastAsia="zh-CN"/>
        </w:rPr>
        <w:t>生产期间关闭门窗，降低噪声对外环境的影响；</w:t>
      </w:r>
    </w:p>
    <w:p>
      <w:pPr>
        <w:pStyle w:val="5"/>
        <w:numPr>
          <w:ilvl w:val="0"/>
          <w:numId w:val="4"/>
        </w:numPr>
        <w:spacing w:line="360" w:lineRule="auto"/>
        <w:ind w:left="233" w:leftChars="111" w:firstLine="604" w:firstLineChars="216"/>
        <w:rPr>
          <w:rFonts w:hint="default" w:ascii="Times New Roman" w:hAnsi="Times New Roman" w:eastAsia="宋体" w:cs="Times New Roman"/>
          <w:color w:val="auto"/>
          <w:sz w:val="28"/>
          <w:szCs w:val="28"/>
          <w:lang w:val="en-US" w:eastAsia="zh-CN"/>
        </w:rPr>
      </w:pPr>
      <w:r>
        <w:rPr>
          <w:rFonts w:hint="eastAsia" w:ascii="Times New Roman" w:hAnsi="Times New Roman" w:cs="Times New Roman"/>
          <w:color w:val="auto"/>
          <w:sz w:val="28"/>
          <w:szCs w:val="28"/>
          <w:lang w:val="en-US" w:eastAsia="zh-CN"/>
        </w:rPr>
        <w:t>及时清理车床、冲床周围油污，保持地面清洁；</w:t>
      </w:r>
    </w:p>
    <w:p>
      <w:pPr>
        <w:pStyle w:val="5"/>
        <w:numPr>
          <w:ilvl w:val="0"/>
          <w:numId w:val="4"/>
        </w:numPr>
        <w:spacing w:line="360" w:lineRule="auto"/>
        <w:ind w:left="233" w:leftChars="111" w:firstLine="604" w:firstLineChars="216"/>
        <w:rPr>
          <w:rFonts w:hint="default" w:ascii="Times New Roman" w:hAnsi="Times New Roman" w:eastAsia="宋体" w:cs="Times New Roman"/>
          <w:color w:val="auto"/>
          <w:sz w:val="28"/>
          <w:szCs w:val="28"/>
          <w:lang w:val="en-US" w:eastAsia="zh-CN"/>
        </w:rPr>
      </w:pPr>
      <w:r>
        <w:rPr>
          <w:rFonts w:hint="eastAsia" w:ascii="Times New Roman" w:hAnsi="Times New Roman" w:cs="Times New Roman"/>
          <w:color w:val="auto"/>
          <w:sz w:val="28"/>
          <w:szCs w:val="28"/>
          <w:lang w:val="en-US" w:eastAsia="zh-CN"/>
        </w:rPr>
        <w:t>规范存放并及时清理下脚料</w:t>
      </w:r>
      <w:bookmarkStart w:id="0" w:name="_GoBack"/>
      <w:bookmarkEnd w:id="0"/>
      <w:r>
        <w:rPr>
          <w:rFonts w:hint="eastAsia" w:ascii="Times New Roman" w:hAnsi="Times New Roman" w:cs="Times New Roman"/>
          <w:color w:val="auto"/>
          <w:sz w:val="28"/>
          <w:szCs w:val="28"/>
          <w:lang w:val="en-US" w:eastAsia="zh-CN"/>
        </w:rPr>
        <w:t>。</w:t>
      </w:r>
    </w:p>
    <w:p>
      <w:pPr>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lang w:val="en-US" w:eastAsia="zh-CN"/>
        </w:rPr>
        <w:t>六、</w:t>
      </w:r>
      <w:r>
        <w:rPr>
          <w:rFonts w:hint="default" w:ascii="Times New Roman" w:hAnsi="Times New Roman" w:eastAsia="宋体" w:cs="Times New Roman"/>
          <w:color w:val="auto"/>
          <w:sz w:val="28"/>
          <w:szCs w:val="28"/>
        </w:rPr>
        <w:t>验收结论</w:t>
      </w:r>
    </w:p>
    <w:p>
      <w:pPr>
        <w:spacing w:line="360" w:lineRule="auto"/>
        <w:ind w:left="233" w:leftChars="111" w:firstLine="604" w:firstLineChars="216"/>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验收组一致认为该项目实施过程中按照环评及其批复要求落实了相关环保措施，环保手续齐全，建立了相应的环保管理制度，项目建设过程无重大变更。按环境影响报告表及审批要求建设了环境保护设施。验收监测各项指标满足国家相关排放标准。</w:t>
      </w:r>
    </w:p>
    <w:p>
      <w:pPr>
        <w:tabs>
          <w:tab w:val="left" w:pos="5955"/>
          <w:tab w:val="left" w:pos="6095"/>
        </w:tabs>
        <w:spacing w:line="360" w:lineRule="auto"/>
        <w:ind w:left="233" w:leftChars="111" w:firstLine="604" w:firstLineChars="216"/>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鉴于项目符合国家和地方相关产业标准及准入要求，用地符合当地规划，环保设施与生产配套，验收期间各项监测指标满足国家相关排放标准，该项目通过环保验收。</w:t>
      </w:r>
    </w:p>
    <w:p>
      <w:pPr>
        <w:spacing w:line="360" w:lineRule="auto"/>
        <w:ind w:left="233" w:leftChars="111" w:firstLine="604" w:firstLineChars="216"/>
        <w:jc w:val="right"/>
        <w:rPr>
          <w:rFonts w:hint="default" w:ascii="Times New Roman" w:hAnsi="Times New Roman" w:eastAsia="宋体" w:cs="Times New Roman"/>
          <w:color w:val="auto"/>
          <w:sz w:val="28"/>
          <w:szCs w:val="28"/>
        </w:rPr>
      </w:pPr>
    </w:p>
    <w:p>
      <w:pPr>
        <w:spacing w:line="360" w:lineRule="auto"/>
        <w:ind w:left="233" w:leftChars="111" w:firstLine="604" w:firstLineChars="216"/>
        <w:jc w:val="right"/>
        <w:rPr>
          <w:rFonts w:hint="default" w:ascii="Times New Roman" w:hAnsi="Times New Roman" w:eastAsia="宋体" w:cs="Times New Roman"/>
          <w:color w:val="auto"/>
          <w:sz w:val="28"/>
          <w:szCs w:val="28"/>
        </w:rPr>
      </w:pPr>
      <w:r>
        <w:rPr>
          <w:rFonts w:hint="eastAsia" w:cs="Times New Roman"/>
          <w:color w:val="auto"/>
          <w:sz w:val="28"/>
          <w:szCs w:val="28"/>
          <w:lang w:eastAsia="zh-CN"/>
        </w:rPr>
        <w:t>山东光佑金属制造有限公司</w:t>
      </w:r>
      <w:r>
        <w:rPr>
          <w:rFonts w:hint="default" w:ascii="Times New Roman" w:hAnsi="Times New Roman" w:eastAsia="宋体" w:cs="Times New Roman"/>
          <w:color w:val="auto"/>
          <w:sz w:val="28"/>
          <w:szCs w:val="28"/>
        </w:rPr>
        <w:t>验收组</w:t>
      </w:r>
    </w:p>
    <w:p>
      <w:pPr>
        <w:spacing w:line="360" w:lineRule="auto"/>
        <w:ind w:left="233" w:leftChars="111" w:firstLine="604" w:firstLineChars="216"/>
        <w:jc w:val="right"/>
        <w:rPr>
          <w:rFonts w:hint="default" w:ascii="Times New Roman" w:hAnsi="Times New Roman" w:eastAsia="宋体" w:cs="Times New Roman"/>
          <w:color w:val="auto"/>
          <w:sz w:val="28"/>
          <w:szCs w:val="28"/>
          <w:highlight w:val="none"/>
          <w:lang w:eastAsia="zh-CN"/>
        </w:rPr>
      </w:pPr>
      <w:r>
        <w:rPr>
          <w:rFonts w:hint="default" w:ascii="Times New Roman" w:hAnsi="Times New Roman" w:eastAsia="宋体" w:cs="Times New Roman"/>
          <w:color w:val="auto"/>
          <w:sz w:val="28"/>
          <w:szCs w:val="28"/>
        </w:rPr>
        <w:t xml:space="preserve">          </w:t>
      </w:r>
      <w:r>
        <w:rPr>
          <w:rFonts w:hint="default" w:ascii="Times New Roman" w:hAnsi="Times New Roman" w:eastAsia="宋体" w:cs="Times New Roman"/>
          <w:color w:val="auto"/>
          <w:sz w:val="28"/>
          <w:szCs w:val="28"/>
          <w:highlight w:val="none"/>
        </w:rPr>
        <w:t xml:space="preserve">                      20</w:t>
      </w:r>
      <w:r>
        <w:rPr>
          <w:rFonts w:hint="eastAsia" w:cs="Times New Roman"/>
          <w:color w:val="auto"/>
          <w:sz w:val="28"/>
          <w:szCs w:val="28"/>
          <w:highlight w:val="none"/>
          <w:lang w:val="en-US" w:eastAsia="zh-CN"/>
        </w:rPr>
        <w:t>20</w:t>
      </w:r>
      <w:r>
        <w:rPr>
          <w:rFonts w:hint="default" w:ascii="Times New Roman" w:hAnsi="Times New Roman" w:eastAsia="宋体" w:cs="Times New Roman"/>
          <w:color w:val="auto"/>
          <w:sz w:val="28"/>
          <w:szCs w:val="28"/>
          <w:highlight w:val="none"/>
        </w:rPr>
        <w:t>年</w:t>
      </w:r>
      <w:r>
        <w:rPr>
          <w:rFonts w:hint="eastAsia" w:cs="Times New Roman"/>
          <w:color w:val="auto"/>
          <w:sz w:val="28"/>
          <w:szCs w:val="28"/>
          <w:highlight w:val="none"/>
          <w:lang w:val="en-US" w:eastAsia="zh-CN"/>
        </w:rPr>
        <w:t>3</w:t>
      </w:r>
      <w:r>
        <w:rPr>
          <w:rFonts w:hint="default" w:ascii="Times New Roman" w:hAnsi="Times New Roman" w:eastAsia="宋体" w:cs="Times New Roman"/>
          <w:color w:val="auto"/>
          <w:sz w:val="28"/>
          <w:szCs w:val="28"/>
          <w:highlight w:val="none"/>
        </w:rPr>
        <w:t>月</w:t>
      </w:r>
      <w:r>
        <w:rPr>
          <w:rFonts w:hint="eastAsia" w:cs="Times New Roman"/>
          <w:color w:val="auto"/>
          <w:sz w:val="28"/>
          <w:szCs w:val="28"/>
          <w:highlight w:val="none"/>
          <w:lang w:val="en-US" w:eastAsia="zh-CN"/>
        </w:rPr>
        <w:t>7</w:t>
      </w:r>
      <w:r>
        <w:rPr>
          <w:rFonts w:hint="default" w:ascii="Times New Roman" w:hAnsi="Times New Roman" w:eastAsia="宋体" w:cs="Times New Roman"/>
          <w:color w:val="auto"/>
          <w:sz w:val="28"/>
          <w:szCs w:val="28"/>
          <w:highlight w:val="none"/>
        </w:rPr>
        <w:t>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F2F051"/>
    <w:multiLevelType w:val="singleLevel"/>
    <w:tmpl w:val="A1F2F051"/>
    <w:lvl w:ilvl="0" w:tentative="0">
      <w:start w:val="1"/>
      <w:numFmt w:val="decimal"/>
      <w:suff w:val="nothing"/>
      <w:lvlText w:val="%1、"/>
      <w:lvlJc w:val="left"/>
      <w:pPr>
        <w:ind w:left="560" w:leftChars="0" w:firstLine="0" w:firstLineChars="0"/>
      </w:pPr>
    </w:lvl>
  </w:abstractNum>
  <w:abstractNum w:abstractNumId="1">
    <w:nsid w:val="C65E2C2C"/>
    <w:multiLevelType w:val="singleLevel"/>
    <w:tmpl w:val="C65E2C2C"/>
    <w:lvl w:ilvl="0" w:tentative="0">
      <w:start w:val="4"/>
      <w:numFmt w:val="decimal"/>
      <w:suff w:val="space"/>
      <w:lvlText w:val="%1."/>
      <w:lvlJc w:val="left"/>
    </w:lvl>
  </w:abstractNum>
  <w:abstractNum w:abstractNumId="2">
    <w:nsid w:val="EC370676"/>
    <w:multiLevelType w:val="singleLevel"/>
    <w:tmpl w:val="EC370676"/>
    <w:lvl w:ilvl="0" w:tentative="0">
      <w:start w:val="1"/>
      <w:numFmt w:val="decimal"/>
      <w:suff w:val="space"/>
      <w:lvlText w:val="%1."/>
      <w:lvlJc w:val="left"/>
    </w:lvl>
  </w:abstractNum>
  <w:abstractNum w:abstractNumId="3">
    <w:nsid w:val="4401761E"/>
    <w:multiLevelType w:val="singleLevel"/>
    <w:tmpl w:val="4401761E"/>
    <w:lvl w:ilvl="0" w:tentative="0">
      <w:start w:val="2"/>
      <w:numFmt w:val="decimal"/>
      <w:suff w:val="space"/>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67464"/>
    <w:rsid w:val="02E1230E"/>
    <w:rsid w:val="0363342C"/>
    <w:rsid w:val="0400088B"/>
    <w:rsid w:val="0705220E"/>
    <w:rsid w:val="0A775B6C"/>
    <w:rsid w:val="0B4B4E54"/>
    <w:rsid w:val="0BB105F9"/>
    <w:rsid w:val="0BCD78E3"/>
    <w:rsid w:val="0BD4352F"/>
    <w:rsid w:val="0D002E61"/>
    <w:rsid w:val="0E9F521D"/>
    <w:rsid w:val="110D6D4E"/>
    <w:rsid w:val="13242E95"/>
    <w:rsid w:val="168D080A"/>
    <w:rsid w:val="17073D8B"/>
    <w:rsid w:val="188E6607"/>
    <w:rsid w:val="18D05E89"/>
    <w:rsid w:val="19BD6A9B"/>
    <w:rsid w:val="1AAF6CA7"/>
    <w:rsid w:val="1B753DC5"/>
    <w:rsid w:val="1DCD1CD5"/>
    <w:rsid w:val="1E9D1B02"/>
    <w:rsid w:val="20F95110"/>
    <w:rsid w:val="21E62141"/>
    <w:rsid w:val="23253252"/>
    <w:rsid w:val="24DD3549"/>
    <w:rsid w:val="27420539"/>
    <w:rsid w:val="27776D4F"/>
    <w:rsid w:val="284C33EF"/>
    <w:rsid w:val="286B6E9D"/>
    <w:rsid w:val="2A636C42"/>
    <w:rsid w:val="2BD129D7"/>
    <w:rsid w:val="2BFB35B9"/>
    <w:rsid w:val="2C8345D6"/>
    <w:rsid w:val="2DD941F5"/>
    <w:rsid w:val="2DE61E9D"/>
    <w:rsid w:val="2E594393"/>
    <w:rsid w:val="31572BC2"/>
    <w:rsid w:val="33E80446"/>
    <w:rsid w:val="35A21894"/>
    <w:rsid w:val="35CA7C00"/>
    <w:rsid w:val="371221B6"/>
    <w:rsid w:val="3B2962D5"/>
    <w:rsid w:val="3B9345B4"/>
    <w:rsid w:val="3C495586"/>
    <w:rsid w:val="3C614E95"/>
    <w:rsid w:val="3C8D2464"/>
    <w:rsid w:val="3D216C63"/>
    <w:rsid w:val="3D481CA9"/>
    <w:rsid w:val="42115E1E"/>
    <w:rsid w:val="425A3055"/>
    <w:rsid w:val="42D02360"/>
    <w:rsid w:val="42ED0B8D"/>
    <w:rsid w:val="440B2C50"/>
    <w:rsid w:val="45B12AB5"/>
    <w:rsid w:val="4BC32318"/>
    <w:rsid w:val="4D966CB6"/>
    <w:rsid w:val="502E49CB"/>
    <w:rsid w:val="51603323"/>
    <w:rsid w:val="52082039"/>
    <w:rsid w:val="520B1012"/>
    <w:rsid w:val="56DD1623"/>
    <w:rsid w:val="5B994AD0"/>
    <w:rsid w:val="5BB97A85"/>
    <w:rsid w:val="5C705EEE"/>
    <w:rsid w:val="5D580A9C"/>
    <w:rsid w:val="5F0C4CFF"/>
    <w:rsid w:val="602A22C2"/>
    <w:rsid w:val="64C4763E"/>
    <w:rsid w:val="65826A80"/>
    <w:rsid w:val="66FB5067"/>
    <w:rsid w:val="6A4209DB"/>
    <w:rsid w:val="6ABA50EB"/>
    <w:rsid w:val="6DEB0CC4"/>
    <w:rsid w:val="6E620EC2"/>
    <w:rsid w:val="710F5340"/>
    <w:rsid w:val="72126728"/>
    <w:rsid w:val="724713C7"/>
    <w:rsid w:val="72964393"/>
    <w:rsid w:val="72C90F73"/>
    <w:rsid w:val="73223BF6"/>
    <w:rsid w:val="7593546D"/>
    <w:rsid w:val="75C3338A"/>
    <w:rsid w:val="76AB541C"/>
    <w:rsid w:val="77930543"/>
    <w:rsid w:val="7F330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li_正文"/>
    <w:basedOn w:val="1"/>
    <w:qFormat/>
    <w:uiPriority w:val="0"/>
    <w:pPr>
      <w:ind w:firstLine="200" w:firstLineChars="200"/>
      <w:jc w:val="left"/>
    </w:pPr>
    <w:rPr>
      <w:rFonts w:ascii="Calibri" w:hAnsi="Calibri" w:eastAsia="宋体" w:cs="Times New Roman"/>
      <w:sz w:val="28"/>
      <w:szCs w:val="28"/>
    </w:rPr>
  </w:style>
  <w:style w:type="paragraph" w:styleId="3">
    <w:name w:val="annotation text"/>
    <w:basedOn w:val="1"/>
    <w:semiHidden/>
    <w:unhideWhenUsed/>
    <w:qFormat/>
    <w:uiPriority w:val="99"/>
    <w:pPr>
      <w:jc w:val="left"/>
    </w:pPr>
  </w:style>
  <w:style w:type="paragraph" w:styleId="4">
    <w:name w:val="Block Text"/>
    <w:basedOn w:val="1"/>
    <w:semiHidden/>
    <w:unhideWhenUsed/>
    <w:qFormat/>
    <w:uiPriority w:val="99"/>
    <w:pPr>
      <w:adjustRightInd/>
      <w:ind w:left="525" w:leftChars="250" w:right="685" w:rightChars="326" w:firstLine="560"/>
      <w:jc w:val="both"/>
      <w:textAlignment w:val="auto"/>
    </w:pPr>
    <w:rPr>
      <w:sz w:val="28"/>
      <w:szCs w:val="24"/>
    </w:rPr>
  </w:style>
  <w:style w:type="paragraph" w:styleId="5">
    <w:name w:val="Plain Text"/>
    <w:basedOn w:val="1"/>
    <w:semiHidden/>
    <w:unhideWhenUsed/>
    <w:qFormat/>
    <w:uiPriority w:val="99"/>
    <w:rPr>
      <w:rFonts w:ascii="宋体" w:hAnsi="Courier New" w:cs="Courier New"/>
      <w:szCs w:val="21"/>
    </w:rPr>
  </w:style>
  <w:style w:type="table" w:styleId="7">
    <w:name w:val="Table Grid"/>
    <w:basedOn w:val="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99"/>
    <w:pPr>
      <w:ind w:firstLine="420" w:firstLineChars="200"/>
    </w:pPr>
  </w:style>
  <w:style w:type="paragraph" w:customStyle="1" w:styleId="10">
    <w:name w:val="Default"/>
    <w:unhideWhenUsed/>
    <w:qFormat/>
    <w:uiPriority w:val="99"/>
    <w:pPr>
      <w:widowControl w:val="0"/>
      <w:autoSpaceDE w:val="0"/>
      <w:autoSpaceDN w:val="0"/>
      <w:adjustRightInd w:val="0"/>
    </w:pPr>
    <w:rPr>
      <w:rFonts w:hint="eastAsia" w:ascii="宋体" w:hAnsi="宋体" w:eastAsia="宋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2020-03-13T01:06:19Z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