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pacing w:line="360" w:lineRule="auto"/>
        <w:ind w:left="298" w:leftChars="142"/>
        <w:jc w:val="center"/>
        <w:rPr>
          <w:rFonts w:hint="default" w:ascii="Times New Roman" w:hAnsi="Times New Roman" w:eastAsia="楷体_GB2312" w:cs="Times New Roman"/>
          <w:b/>
          <w:color w:val="auto"/>
          <w:sz w:val="28"/>
          <w:szCs w:val="28"/>
          <w:lang w:val="en-US" w:eastAsia="zh-CN"/>
        </w:rPr>
      </w:pPr>
      <w:r>
        <w:rPr>
          <w:rFonts w:hint="eastAsia" w:eastAsia="楷体_GB2312" w:cs="Times New Roman"/>
          <w:b/>
          <w:color w:val="auto"/>
          <w:sz w:val="28"/>
          <w:szCs w:val="28"/>
          <w:lang w:val="en-US" w:eastAsia="zh-CN"/>
        </w:rPr>
        <w:t>山东峰会管业有限公司年产4800吨MPP管材项目</w:t>
      </w:r>
    </w:p>
    <w:p>
      <w:pPr>
        <w:tabs>
          <w:tab w:val="left" w:pos="360"/>
        </w:tabs>
        <w:spacing w:line="360" w:lineRule="auto"/>
        <w:ind w:left="298" w:leftChars="142"/>
        <w:jc w:val="center"/>
        <w:rPr>
          <w:rFonts w:hint="default" w:ascii="Times New Roman" w:hAnsi="Times New Roman" w:eastAsia="楷体_GB2312" w:cs="Times New Roman"/>
          <w:b/>
          <w:color w:val="auto"/>
          <w:sz w:val="30"/>
          <w:szCs w:val="30"/>
        </w:rPr>
      </w:pPr>
      <w:r>
        <w:rPr>
          <w:rFonts w:hint="default" w:ascii="Times New Roman" w:hAnsi="Times New Roman" w:eastAsia="楷体_GB2312" w:cs="Times New Roman"/>
          <w:b/>
          <w:color w:val="auto"/>
          <w:sz w:val="28"/>
          <w:szCs w:val="28"/>
          <w:lang w:val="en-US" w:eastAsia="zh-CN"/>
        </w:rPr>
        <w:t>竣工</w:t>
      </w:r>
      <w:r>
        <w:rPr>
          <w:rFonts w:hint="default" w:ascii="Times New Roman" w:hAnsi="Times New Roman" w:eastAsia="楷体_GB2312" w:cs="Times New Roman"/>
          <w:b/>
          <w:color w:val="auto"/>
          <w:sz w:val="28"/>
          <w:szCs w:val="28"/>
        </w:rPr>
        <w:t>环境保护验收现场检查及验收工作组验收意见</w:t>
      </w:r>
    </w:p>
    <w:p>
      <w:pPr>
        <w:tabs>
          <w:tab w:val="left" w:pos="360"/>
        </w:tabs>
        <w:spacing w:line="360" w:lineRule="auto"/>
        <w:ind w:left="298" w:leftChars="142"/>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 xml:space="preserve">     </w:t>
      </w:r>
      <w:r>
        <w:rPr>
          <w:rFonts w:hint="default" w:ascii="Times New Roman" w:hAnsi="Times New Roman" w:eastAsia="楷体_GB2312" w:cs="Times New Roman"/>
          <w:color w:val="auto"/>
          <w:sz w:val="28"/>
          <w:szCs w:val="28"/>
          <w:highlight w:val="none"/>
        </w:rPr>
        <w:t>2018年</w:t>
      </w:r>
      <w:r>
        <w:rPr>
          <w:rFonts w:hint="eastAsia" w:eastAsia="楷体_GB2312" w:cs="Times New Roman"/>
          <w:color w:val="auto"/>
          <w:sz w:val="28"/>
          <w:szCs w:val="28"/>
          <w:highlight w:val="none"/>
          <w:lang w:val="en-US" w:eastAsia="zh-CN"/>
        </w:rPr>
        <w:t>12</w:t>
      </w:r>
      <w:r>
        <w:rPr>
          <w:rFonts w:hint="default" w:ascii="Times New Roman" w:hAnsi="Times New Roman" w:eastAsia="楷体_GB2312" w:cs="Times New Roman"/>
          <w:color w:val="auto"/>
          <w:sz w:val="28"/>
          <w:szCs w:val="28"/>
          <w:highlight w:val="none"/>
        </w:rPr>
        <w:t>月</w:t>
      </w:r>
      <w:r>
        <w:rPr>
          <w:rFonts w:hint="eastAsia" w:eastAsia="楷体_GB2312" w:cs="Times New Roman"/>
          <w:color w:val="auto"/>
          <w:sz w:val="28"/>
          <w:szCs w:val="28"/>
          <w:highlight w:val="none"/>
          <w:lang w:val="en-US" w:eastAsia="zh-CN"/>
        </w:rPr>
        <w:t>7</w:t>
      </w:r>
      <w:r>
        <w:rPr>
          <w:rFonts w:hint="default" w:ascii="Times New Roman" w:hAnsi="Times New Roman" w:eastAsia="楷体_GB2312" w:cs="Times New Roman"/>
          <w:color w:val="auto"/>
          <w:sz w:val="28"/>
          <w:szCs w:val="28"/>
          <w:highlight w:val="none"/>
        </w:rPr>
        <w:t>日</w:t>
      </w:r>
      <w:r>
        <w:rPr>
          <w:rFonts w:hint="default" w:ascii="Times New Roman" w:hAnsi="Times New Roman" w:eastAsia="楷体_GB2312" w:cs="Times New Roman"/>
          <w:color w:val="auto"/>
          <w:sz w:val="28"/>
          <w:szCs w:val="28"/>
        </w:rPr>
        <w:t>，</w:t>
      </w:r>
      <w:r>
        <w:rPr>
          <w:rFonts w:hint="eastAsia" w:eastAsia="楷体_GB2312" w:cs="Times New Roman"/>
          <w:color w:val="auto"/>
          <w:sz w:val="28"/>
          <w:szCs w:val="28"/>
          <w:lang w:val="en-US" w:eastAsia="zh-CN"/>
        </w:rPr>
        <w:t>山东峰会管业有限公司</w:t>
      </w:r>
      <w:r>
        <w:rPr>
          <w:rFonts w:hint="default" w:ascii="Times New Roman" w:hAnsi="Times New Roman" w:eastAsia="楷体_GB2312" w:cs="Times New Roman"/>
          <w:color w:val="auto"/>
          <w:sz w:val="28"/>
          <w:szCs w:val="28"/>
          <w:highlight w:val="none"/>
        </w:rPr>
        <w:t>组织召开</w:t>
      </w:r>
      <w:r>
        <w:rPr>
          <w:rFonts w:hint="eastAsia" w:eastAsia="楷体_GB2312" w:cs="Times New Roman"/>
          <w:color w:val="auto"/>
          <w:sz w:val="28"/>
          <w:szCs w:val="28"/>
          <w:highlight w:val="none"/>
          <w:lang w:val="en-US" w:eastAsia="zh-CN"/>
        </w:rPr>
        <w:t>年产4800吨MPP管材项目</w:t>
      </w:r>
      <w:r>
        <w:rPr>
          <w:rFonts w:hint="default" w:ascii="Times New Roman" w:hAnsi="Times New Roman" w:eastAsia="楷体_GB2312" w:cs="Times New Roman"/>
          <w:color w:val="auto"/>
          <w:sz w:val="28"/>
          <w:szCs w:val="28"/>
          <w:highlight w:val="none"/>
        </w:rPr>
        <w:t>竣</w:t>
      </w:r>
      <w:r>
        <w:rPr>
          <w:rFonts w:hint="default" w:ascii="Times New Roman" w:hAnsi="Times New Roman" w:eastAsia="楷体_GB2312" w:cs="Times New Roman"/>
          <w:color w:val="auto"/>
          <w:sz w:val="28"/>
          <w:szCs w:val="28"/>
        </w:rPr>
        <w:t>工环境保护验收现场检查及验收及验收会。验收工作组由工程建设单位（</w:t>
      </w:r>
      <w:r>
        <w:rPr>
          <w:rFonts w:hint="eastAsia" w:eastAsia="楷体_GB2312" w:cs="Times New Roman"/>
          <w:color w:val="auto"/>
          <w:sz w:val="28"/>
          <w:szCs w:val="28"/>
          <w:lang w:val="en-US" w:eastAsia="zh-CN"/>
        </w:rPr>
        <w:t>山东峰会管业有限公司</w:t>
      </w:r>
      <w:r>
        <w:rPr>
          <w:rFonts w:hint="default" w:ascii="Times New Roman" w:hAnsi="Times New Roman" w:eastAsia="楷体_GB2312" w:cs="Times New Roman"/>
          <w:color w:val="auto"/>
          <w:sz w:val="28"/>
          <w:szCs w:val="28"/>
        </w:rPr>
        <w:t>）、环评单位（</w:t>
      </w:r>
      <w:r>
        <w:rPr>
          <w:rFonts w:hint="default" w:ascii="Times New Roman" w:hAnsi="Times New Roman" w:eastAsia="楷体_GB2312" w:cs="Times New Roman"/>
          <w:color w:val="auto"/>
          <w:sz w:val="28"/>
          <w:szCs w:val="28"/>
          <w:lang w:val="en-US" w:eastAsia="zh-CN"/>
        </w:rPr>
        <w:t>山东三润环保科技有限公司</w:t>
      </w:r>
      <w:r>
        <w:rPr>
          <w:rFonts w:hint="default" w:ascii="Times New Roman" w:hAnsi="Times New Roman" w:eastAsia="楷体_GB2312" w:cs="Times New Roman"/>
          <w:color w:val="auto"/>
          <w:sz w:val="28"/>
          <w:szCs w:val="28"/>
        </w:rPr>
        <w:t>）、监测单位（</w:t>
      </w:r>
      <w:r>
        <w:rPr>
          <w:rFonts w:hint="default" w:ascii="Times New Roman" w:hAnsi="Times New Roman" w:eastAsia="楷体_GB2312" w:cs="Times New Roman"/>
          <w:color w:val="auto"/>
          <w:sz w:val="28"/>
          <w:szCs w:val="28"/>
          <w:lang w:eastAsia="zh-CN"/>
        </w:rPr>
        <w:t>山东聊和环保科技有限公司</w:t>
      </w:r>
      <w:r>
        <w:rPr>
          <w:rFonts w:hint="default" w:ascii="Times New Roman" w:hAnsi="Times New Roman" w:eastAsia="楷体_GB2312" w:cs="Times New Roman"/>
          <w:color w:val="auto"/>
          <w:sz w:val="28"/>
          <w:szCs w:val="28"/>
        </w:rPr>
        <w:t>）并特邀</w:t>
      </w:r>
      <w:r>
        <w:rPr>
          <w:rFonts w:hint="default" w:ascii="Times New Roman" w:hAnsi="Times New Roman" w:eastAsia="楷体_GB2312" w:cs="Times New Roman"/>
          <w:color w:val="auto"/>
          <w:sz w:val="28"/>
          <w:szCs w:val="28"/>
          <w:lang w:val="en-US" w:eastAsia="zh-CN"/>
        </w:rPr>
        <w:t>2</w:t>
      </w:r>
      <w:r>
        <w:rPr>
          <w:rFonts w:hint="default" w:ascii="Times New Roman" w:hAnsi="Times New Roman" w:eastAsia="楷体_GB2312" w:cs="Times New Roman"/>
          <w:color w:val="auto"/>
          <w:sz w:val="28"/>
          <w:szCs w:val="28"/>
        </w:rPr>
        <w:t>名技术专家（名单附后）组成。</w:t>
      </w:r>
    </w:p>
    <w:p>
      <w:pPr>
        <w:tabs>
          <w:tab w:val="left" w:pos="360"/>
        </w:tabs>
        <w:spacing w:line="360" w:lineRule="auto"/>
        <w:ind w:left="298" w:leftChars="142"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验收组现场查阅并核实了本项目运营期环保工作落实情况，根据项目竣工环境保护验收监测报告并对照《建设项目环境保护管理条例》、《建设项目竣工环境保护验收暂行办法》，严格依照国家有关法律法规、建设项目竣工环境保护验收技术规范、本项目环境影响评价报告表和审批部门审批决定等要求对本项目进行验收，经认真研究讨论形成环保验收意见，提出意见如下：</w:t>
      </w:r>
    </w:p>
    <w:p>
      <w:pPr>
        <w:tabs>
          <w:tab w:val="left" w:pos="360"/>
        </w:tabs>
        <w:spacing w:line="360" w:lineRule="auto"/>
        <w:ind w:left="298" w:leftChars="142"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一、工程建设基本情况</w:t>
      </w:r>
    </w:p>
    <w:p>
      <w:pPr>
        <w:tabs>
          <w:tab w:val="left" w:pos="360"/>
        </w:tabs>
        <w:spacing w:line="360" w:lineRule="auto"/>
        <w:ind w:left="298" w:leftChars="142"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（一）建设地点、规模、主要建设内容</w:t>
      </w:r>
    </w:p>
    <w:p>
      <w:pPr>
        <w:pStyle w:val="3"/>
        <w:numPr>
          <w:ilvl w:val="0"/>
          <w:numId w:val="0"/>
        </w:numPr>
        <w:spacing w:line="360" w:lineRule="auto"/>
        <w:ind w:left="0" w:leftChars="0" w:firstLine="560" w:firstLineChars="200"/>
        <w:rPr>
          <w:rFonts w:hint="default" w:ascii="Times New Roman" w:hAnsi="Times New Roman" w:eastAsia="楷体" w:cs="Times New Roman"/>
          <w:color w:val="auto"/>
          <w:sz w:val="28"/>
          <w:szCs w:val="28"/>
        </w:rPr>
      </w:pPr>
      <w:r>
        <w:rPr>
          <w:rFonts w:hint="default" w:ascii="Times New Roman" w:hAnsi="Times New Roman" w:eastAsia="楷体_GB2312" w:cs="Times New Roman"/>
          <w:color w:val="auto"/>
          <w:sz w:val="28"/>
          <w:szCs w:val="28"/>
        </w:rPr>
        <w:t>项目建设地点位于</w:t>
      </w:r>
      <w:r>
        <w:rPr>
          <w:rFonts w:hint="default" w:ascii="Times New Roman" w:hAnsi="Times New Roman" w:eastAsia="楷体_GB2312" w:cs="Times New Roman"/>
          <w:color w:val="auto"/>
          <w:sz w:val="28"/>
          <w:szCs w:val="28"/>
          <w:lang w:val="en-US" w:eastAsia="zh-CN"/>
        </w:rPr>
        <w:t>聊城市东阿县姜楼镇工业园陈店村北首路南</w:t>
      </w:r>
      <w:r>
        <w:rPr>
          <w:rFonts w:hint="default" w:ascii="Times New Roman" w:hAnsi="Times New Roman" w:eastAsia="楷体" w:cs="Times New Roman"/>
          <w:color w:val="auto"/>
          <w:sz w:val="28"/>
          <w:szCs w:val="28"/>
        </w:rPr>
        <w:t>。</w:t>
      </w:r>
      <w:r>
        <w:rPr>
          <w:rFonts w:hint="default" w:ascii="Times New Roman" w:hAnsi="Times New Roman" w:eastAsia="楷体" w:cs="Times New Roman"/>
          <w:color w:val="auto"/>
          <w:sz w:val="28"/>
          <w:szCs w:val="28"/>
          <w:lang w:eastAsia="zh-CN"/>
        </w:rPr>
        <w:t>项目总投资</w:t>
      </w:r>
      <w:r>
        <w:rPr>
          <w:rFonts w:hint="eastAsia" w:eastAsia="楷体" w:cs="Times New Roman"/>
          <w:color w:val="auto"/>
          <w:sz w:val="28"/>
          <w:szCs w:val="28"/>
          <w:lang w:val="en-US" w:eastAsia="zh-CN"/>
        </w:rPr>
        <w:t>196</w:t>
      </w:r>
      <w:r>
        <w:rPr>
          <w:rFonts w:hint="default" w:ascii="Times New Roman" w:hAnsi="Times New Roman" w:eastAsia="楷体" w:cs="Times New Roman"/>
          <w:color w:val="auto"/>
          <w:sz w:val="28"/>
          <w:szCs w:val="28"/>
          <w:lang w:val="en-US" w:eastAsia="zh-CN"/>
        </w:rPr>
        <w:t>万</w:t>
      </w:r>
      <w:r>
        <w:rPr>
          <w:rFonts w:hint="default" w:ascii="Times New Roman" w:hAnsi="Times New Roman" w:eastAsia="楷体" w:cs="Times New Roman"/>
          <w:color w:val="auto"/>
          <w:sz w:val="28"/>
          <w:szCs w:val="28"/>
          <w:lang w:eastAsia="zh-CN"/>
        </w:rPr>
        <w:t>元，建设</w:t>
      </w:r>
      <w:r>
        <w:rPr>
          <w:rFonts w:hint="eastAsia" w:eastAsia="楷体" w:cs="Times New Roman"/>
          <w:color w:val="auto"/>
          <w:sz w:val="28"/>
          <w:szCs w:val="28"/>
          <w:lang w:eastAsia="zh-CN"/>
        </w:rPr>
        <w:t>年产4800吨MPP管材项目</w:t>
      </w:r>
      <w:r>
        <w:rPr>
          <w:rFonts w:hint="default" w:ascii="Times New Roman" w:hAnsi="Times New Roman" w:eastAsia="楷体" w:cs="Times New Roman"/>
          <w:color w:val="auto"/>
          <w:sz w:val="28"/>
          <w:szCs w:val="28"/>
          <w:lang w:eastAsia="zh-CN"/>
        </w:rPr>
        <w:t>，项目占地面积</w:t>
      </w:r>
      <w:r>
        <w:rPr>
          <w:rFonts w:hint="eastAsia" w:eastAsia="楷体" w:cs="Times New Roman"/>
          <w:color w:val="auto"/>
          <w:sz w:val="28"/>
          <w:szCs w:val="28"/>
          <w:lang w:val="en-US" w:eastAsia="zh-CN"/>
        </w:rPr>
        <w:t>1041</w:t>
      </w:r>
      <w:r>
        <w:rPr>
          <w:rFonts w:hint="default" w:ascii="Times New Roman" w:hAnsi="Times New Roman" w:eastAsia="楷体" w:cs="Times New Roman"/>
          <w:color w:val="auto"/>
          <w:sz w:val="28"/>
          <w:szCs w:val="28"/>
          <w:lang w:eastAsia="zh-CN"/>
        </w:rPr>
        <w:t>平方米，</w:t>
      </w:r>
      <w:r>
        <w:rPr>
          <w:rFonts w:hint="default" w:ascii="Times New Roman" w:hAnsi="Times New Roman" w:eastAsia="楷体" w:cs="Times New Roman"/>
          <w:color w:val="auto"/>
          <w:sz w:val="28"/>
          <w:szCs w:val="28"/>
          <w:lang w:val="en-US" w:eastAsia="zh-CN"/>
        </w:rPr>
        <w:t>购置自动加料机、单螺杆挤出机及无屑切割机等</w:t>
      </w:r>
      <w:r>
        <w:rPr>
          <w:rFonts w:hint="default" w:ascii="Times New Roman" w:hAnsi="Times New Roman" w:eastAsia="楷体" w:cs="Times New Roman"/>
          <w:color w:val="auto"/>
          <w:sz w:val="28"/>
          <w:szCs w:val="28"/>
        </w:rPr>
        <w:t>加工设备，及配套</w:t>
      </w:r>
      <w:r>
        <w:rPr>
          <w:rFonts w:hint="default" w:ascii="Times New Roman" w:hAnsi="Times New Roman" w:eastAsia="楷体" w:cs="Times New Roman"/>
          <w:color w:val="auto"/>
          <w:sz w:val="28"/>
          <w:szCs w:val="28"/>
          <w:lang w:eastAsia="zh-CN"/>
        </w:rPr>
        <w:t>环保</w:t>
      </w:r>
      <w:r>
        <w:rPr>
          <w:rFonts w:hint="default" w:ascii="Times New Roman" w:hAnsi="Times New Roman" w:eastAsia="楷体" w:cs="Times New Roman"/>
          <w:color w:val="auto"/>
          <w:sz w:val="28"/>
          <w:szCs w:val="28"/>
        </w:rPr>
        <w:t>设施。</w:t>
      </w:r>
    </w:p>
    <w:p>
      <w:pPr>
        <w:tabs>
          <w:tab w:val="left" w:pos="360"/>
        </w:tabs>
        <w:spacing w:line="360" w:lineRule="auto"/>
        <w:ind w:left="298" w:leftChars="142" w:firstLine="560" w:firstLineChars="200"/>
        <w:jc w:val="left"/>
        <w:rPr>
          <w:rFonts w:hint="default" w:ascii="Times New Roman" w:hAnsi="Times New Roman" w:eastAsia="楷体" w:cs="Times New Roman"/>
          <w:color w:val="auto"/>
          <w:sz w:val="24"/>
          <w:szCs w:val="24"/>
          <w:lang w:val="en-US" w:eastAsia="zh-CN"/>
        </w:rPr>
      </w:pPr>
      <w:r>
        <w:rPr>
          <w:rFonts w:hint="default" w:ascii="Times New Roman" w:hAnsi="Times New Roman" w:eastAsia="楷体_GB2312" w:cs="Times New Roman"/>
          <w:color w:val="auto"/>
          <w:sz w:val="28"/>
          <w:szCs w:val="28"/>
        </w:rPr>
        <w:t>建设性质为</w:t>
      </w:r>
      <w:r>
        <w:rPr>
          <w:rFonts w:hint="default" w:ascii="Times New Roman" w:hAnsi="Times New Roman" w:eastAsia="楷体_GB2312" w:cs="Times New Roman"/>
          <w:color w:val="auto"/>
          <w:sz w:val="28"/>
          <w:szCs w:val="28"/>
          <w:lang w:val="en-US" w:eastAsia="zh-CN"/>
        </w:rPr>
        <w:t>新建</w:t>
      </w:r>
      <w:r>
        <w:rPr>
          <w:rFonts w:hint="default" w:ascii="Times New Roman" w:hAnsi="Times New Roman" w:eastAsia="楷体_GB2312" w:cs="Times New Roman"/>
          <w:color w:val="auto"/>
          <w:sz w:val="28"/>
          <w:szCs w:val="28"/>
        </w:rPr>
        <w:t>，项目生产规模为：</w:t>
      </w:r>
      <w:r>
        <w:rPr>
          <w:rFonts w:hint="eastAsia" w:eastAsia="楷体_GB2312" w:cs="Times New Roman"/>
          <w:color w:val="auto"/>
          <w:sz w:val="28"/>
          <w:szCs w:val="28"/>
          <w:lang w:val="en-US" w:eastAsia="zh-CN"/>
        </w:rPr>
        <w:t>年产4800吨MPP管材</w:t>
      </w:r>
    </w:p>
    <w:p>
      <w:pPr>
        <w:tabs>
          <w:tab w:val="left" w:pos="360"/>
        </w:tabs>
        <w:spacing w:line="360" w:lineRule="auto"/>
        <w:ind w:left="298" w:leftChars="142"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（二）环保审批情况</w:t>
      </w:r>
    </w:p>
    <w:p>
      <w:pPr>
        <w:spacing w:line="360" w:lineRule="auto"/>
        <w:ind w:firstLine="700" w:firstLineChars="250"/>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2018年6月山东峰会管业有限公司委托山东三润环保科技有限公司编制了《山东峰会管业有限公司年产4800吨MPP管材项目环境影响报告表》，2018年7月16日东阿县环境保护局以东环报告表[2018]79号对其进行了审批。2018年11月公司委托山东聊和环保科技有限公司进行该项目的环保验收监测工作，接受委托后山东聊和环保科技有限公司组织有关技术人员进行现场踏勘，依据监测技术规范制定了环保验收监测方案，并于2018</w:t>
      </w:r>
      <w:r>
        <w:rPr>
          <w:rFonts w:hint="default" w:ascii="Times New Roman" w:hAnsi="Times New Roman" w:eastAsia="楷体_GB2312" w:cs="Times New Roman"/>
          <w:color w:val="auto"/>
          <w:sz w:val="28"/>
          <w:szCs w:val="28"/>
          <w:lang w:eastAsia="zh-CN"/>
        </w:rPr>
        <w:t>年</w:t>
      </w:r>
      <w:r>
        <w:rPr>
          <w:rFonts w:hint="default" w:ascii="Times New Roman" w:hAnsi="Times New Roman" w:eastAsia="楷体_GB2312" w:cs="Times New Roman"/>
          <w:color w:val="auto"/>
          <w:sz w:val="28"/>
          <w:szCs w:val="28"/>
          <w:lang w:val="en-US" w:eastAsia="zh-CN"/>
        </w:rPr>
        <w:t>11月30日-12月1日</w:t>
      </w:r>
      <w:r>
        <w:rPr>
          <w:rFonts w:hint="default" w:ascii="Times New Roman" w:hAnsi="Times New Roman" w:eastAsia="楷体_GB2312" w:cs="Times New Roman"/>
          <w:color w:val="auto"/>
          <w:sz w:val="28"/>
          <w:szCs w:val="28"/>
        </w:rPr>
        <w:t>对该企业进行了验收监测，根据验收监测结果和现场检查情况编制了本项目验收监测报告。</w:t>
      </w:r>
    </w:p>
    <w:p>
      <w:pPr>
        <w:tabs>
          <w:tab w:val="left" w:pos="360"/>
        </w:tabs>
        <w:spacing w:line="360" w:lineRule="auto"/>
        <w:ind w:left="298" w:leftChars="142"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（三）投资情况</w:t>
      </w:r>
    </w:p>
    <w:p>
      <w:pPr>
        <w:tabs>
          <w:tab w:val="left" w:pos="360"/>
        </w:tabs>
        <w:spacing w:line="360" w:lineRule="auto"/>
        <w:ind w:left="298" w:leftChars="142"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项目实际总投资</w:t>
      </w:r>
      <w:r>
        <w:rPr>
          <w:rFonts w:hint="eastAsia" w:eastAsia="楷体_GB2312" w:cs="Times New Roman"/>
          <w:color w:val="auto"/>
          <w:sz w:val="28"/>
          <w:szCs w:val="28"/>
          <w:lang w:val="en-US" w:eastAsia="zh-CN"/>
        </w:rPr>
        <w:t>196</w:t>
      </w:r>
      <w:r>
        <w:rPr>
          <w:rFonts w:hint="default" w:ascii="Times New Roman" w:hAnsi="Times New Roman" w:eastAsia="楷体_GB2312" w:cs="Times New Roman"/>
          <w:color w:val="auto"/>
          <w:sz w:val="28"/>
          <w:szCs w:val="28"/>
          <w:lang w:val="en-US" w:eastAsia="zh-CN"/>
        </w:rPr>
        <w:t>万</w:t>
      </w:r>
      <w:r>
        <w:rPr>
          <w:rFonts w:hint="default" w:ascii="Times New Roman" w:hAnsi="Times New Roman" w:eastAsia="楷体_GB2312" w:cs="Times New Roman"/>
          <w:color w:val="auto"/>
          <w:sz w:val="28"/>
          <w:szCs w:val="28"/>
        </w:rPr>
        <w:t>元，其中环保投资</w:t>
      </w:r>
      <w:r>
        <w:rPr>
          <w:rFonts w:hint="eastAsia" w:eastAsia="楷体_GB2312" w:cs="Times New Roman"/>
          <w:color w:val="auto"/>
          <w:sz w:val="28"/>
          <w:szCs w:val="28"/>
          <w:lang w:val="en-US" w:eastAsia="zh-CN"/>
        </w:rPr>
        <w:t>10</w:t>
      </w:r>
      <w:r>
        <w:rPr>
          <w:rFonts w:hint="default" w:ascii="Times New Roman" w:hAnsi="Times New Roman" w:eastAsia="楷体_GB2312" w:cs="Times New Roman"/>
          <w:color w:val="auto"/>
          <w:sz w:val="28"/>
          <w:szCs w:val="28"/>
        </w:rPr>
        <w:t>万元。占总投资</w:t>
      </w:r>
      <w:r>
        <w:rPr>
          <w:rFonts w:hint="eastAsia" w:eastAsia="楷体_GB2312" w:cs="Times New Roman"/>
          <w:color w:val="auto"/>
          <w:sz w:val="28"/>
          <w:szCs w:val="28"/>
          <w:lang w:val="en-US" w:eastAsia="zh-CN"/>
        </w:rPr>
        <w:t>5.1</w:t>
      </w:r>
      <w:r>
        <w:rPr>
          <w:rFonts w:hint="default" w:ascii="Times New Roman" w:hAnsi="Times New Roman" w:eastAsia="楷体_GB2312" w:cs="Times New Roman"/>
          <w:color w:val="auto"/>
          <w:sz w:val="28"/>
          <w:szCs w:val="28"/>
        </w:rPr>
        <w:t>％。</w:t>
      </w:r>
    </w:p>
    <w:p>
      <w:pPr>
        <w:tabs>
          <w:tab w:val="left" w:pos="360"/>
        </w:tabs>
        <w:spacing w:line="360" w:lineRule="auto"/>
        <w:ind w:left="298" w:leftChars="142"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（四）验收范围</w:t>
      </w:r>
    </w:p>
    <w:p>
      <w:pPr>
        <w:tabs>
          <w:tab w:val="left" w:pos="360"/>
        </w:tabs>
        <w:spacing w:line="360" w:lineRule="auto"/>
        <w:ind w:left="298" w:leftChars="142"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本次验收的范围为</w:t>
      </w:r>
      <w:r>
        <w:rPr>
          <w:rFonts w:hint="eastAsia" w:eastAsia="楷体_GB2312" w:cs="Times New Roman"/>
          <w:color w:val="auto"/>
          <w:sz w:val="28"/>
          <w:szCs w:val="28"/>
          <w:lang w:val="en-US" w:eastAsia="zh-CN"/>
        </w:rPr>
        <w:t>4800吨MPP管材</w:t>
      </w:r>
      <w:r>
        <w:rPr>
          <w:rFonts w:hint="default" w:ascii="Times New Roman" w:hAnsi="Times New Roman" w:eastAsia="楷体_GB2312" w:cs="Times New Roman"/>
          <w:color w:val="auto"/>
          <w:sz w:val="28"/>
          <w:szCs w:val="28"/>
          <w:lang w:val="en-US" w:eastAsia="zh-CN"/>
        </w:rPr>
        <w:t>加工设备</w:t>
      </w:r>
      <w:r>
        <w:rPr>
          <w:rFonts w:hint="default" w:ascii="Times New Roman" w:hAnsi="Times New Roman" w:eastAsia="楷体_GB2312" w:cs="Times New Roman"/>
          <w:color w:val="auto"/>
          <w:sz w:val="28"/>
          <w:szCs w:val="28"/>
        </w:rPr>
        <w:t>及其配套环保设施。</w:t>
      </w:r>
    </w:p>
    <w:p>
      <w:pPr>
        <w:tabs>
          <w:tab w:val="left" w:pos="360"/>
        </w:tabs>
        <w:spacing w:line="360" w:lineRule="auto"/>
        <w:ind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二、工程变更情况</w:t>
      </w:r>
    </w:p>
    <w:p>
      <w:pPr>
        <w:spacing w:line="360" w:lineRule="auto"/>
        <w:ind w:firstLine="840" w:firstLineChars="3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通过现场调查，对照环评报告及审批意见，生产性质、生产地点、生产规模、生产工艺流程及环保设施均无明显变动，故本项目工程无重大变动。</w:t>
      </w:r>
    </w:p>
    <w:p>
      <w:pPr>
        <w:pStyle w:val="9"/>
        <w:numPr>
          <w:ilvl w:val="0"/>
          <w:numId w:val="0"/>
        </w:numPr>
        <w:spacing w:line="360" w:lineRule="auto"/>
        <w:ind w:left="560" w:leftChars="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lang w:eastAsia="zh-CN"/>
        </w:rPr>
        <w:t>三、</w:t>
      </w:r>
      <w:r>
        <w:rPr>
          <w:rFonts w:hint="default" w:ascii="Times New Roman" w:hAnsi="Times New Roman" w:eastAsia="楷体_GB2312" w:cs="Times New Roman"/>
          <w:color w:val="auto"/>
          <w:sz w:val="28"/>
          <w:szCs w:val="28"/>
        </w:rPr>
        <w:t>环境保护设施落实情况</w:t>
      </w:r>
    </w:p>
    <w:p>
      <w:pPr>
        <w:pStyle w:val="9"/>
        <w:spacing w:beforeLines="50" w:line="360" w:lineRule="auto"/>
        <w:ind w:left="141" w:leftChars="67" w:firstLine="280" w:firstLineChars="100"/>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（一）废水污染源及其治理措施</w:t>
      </w:r>
    </w:p>
    <w:p>
      <w:pPr>
        <w:ind w:firstLine="560" w:firstLineChars="200"/>
        <w:rPr>
          <w:rFonts w:hint="default" w:ascii="Times New Roman" w:hAnsi="Times New Roman" w:eastAsia="楷体" w:cs="Times New Roman"/>
          <w:color w:val="auto"/>
          <w:sz w:val="28"/>
          <w:szCs w:val="28"/>
          <w:lang w:val="en-US" w:eastAsia="zh-CN"/>
        </w:rPr>
      </w:pPr>
      <w:r>
        <w:rPr>
          <w:rFonts w:hint="default" w:ascii="Times New Roman" w:hAnsi="Times New Roman" w:eastAsia="楷体" w:cs="Times New Roman"/>
          <w:color w:val="auto"/>
          <w:sz w:val="28"/>
          <w:szCs w:val="28"/>
          <w:lang w:val="en-US" w:eastAsia="zh-CN"/>
        </w:rPr>
        <w:t>本项目冷却水进行循环使用，不外排。生活污水排入旱厕收集后用作堆肥，不外排。</w:t>
      </w:r>
    </w:p>
    <w:p>
      <w:pPr>
        <w:widowControl/>
        <w:spacing w:line="360" w:lineRule="auto"/>
        <w:ind w:firstLine="420" w:firstLineChars="15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（二）废气污染源及其治理措施</w:t>
      </w:r>
    </w:p>
    <w:p>
      <w:pPr>
        <w:ind w:firstLine="560" w:firstLineChars="200"/>
        <w:rPr>
          <w:rFonts w:hint="default" w:ascii="Times New Roman" w:hAnsi="Times New Roman" w:eastAsia="楷体_GB2312" w:cs="Times New Roman"/>
          <w:color w:val="auto"/>
          <w:sz w:val="28"/>
          <w:szCs w:val="28"/>
          <w:lang w:val="en-US" w:eastAsia="zh-CN"/>
        </w:rPr>
      </w:pPr>
      <w:r>
        <w:rPr>
          <w:rFonts w:hint="default" w:ascii="Times New Roman" w:hAnsi="Times New Roman" w:eastAsia="楷体_GB2312" w:cs="Times New Roman"/>
          <w:color w:val="auto"/>
          <w:sz w:val="28"/>
          <w:szCs w:val="28"/>
          <w:lang w:val="en-US" w:eastAsia="zh-CN"/>
        </w:rPr>
        <w:t>本项目废气主要为热熔工序排放的有机废气，由集气罩收集后，经UV光氧催化设备处理，通过15m高的排气筒排放；未被收集的废气进行无组织排放。</w:t>
      </w:r>
    </w:p>
    <w:p>
      <w:pPr>
        <w:spacing w:line="360" w:lineRule="auto"/>
        <w:ind w:left="0" w:leftChars="0" w:firstLine="420" w:firstLineChars="150"/>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（三）噪声</w:t>
      </w:r>
    </w:p>
    <w:p>
      <w:pPr>
        <w:spacing w:line="360" w:lineRule="auto"/>
        <w:ind w:firstLine="560" w:firstLineChars="200"/>
        <w:jc w:val="left"/>
        <w:rPr>
          <w:rFonts w:hint="default" w:ascii="Times New Roman" w:hAnsi="Times New Roman" w:eastAsia="楷体" w:cs="Times New Roman"/>
          <w:snapToGrid w:val="0"/>
          <w:color w:val="auto"/>
          <w:kern w:val="0"/>
          <w:sz w:val="28"/>
          <w:szCs w:val="28"/>
          <w:lang w:val="en-US" w:eastAsia="zh-CN"/>
        </w:rPr>
      </w:pPr>
      <w:r>
        <w:rPr>
          <w:rFonts w:hint="default" w:ascii="Times New Roman" w:hAnsi="Times New Roman" w:eastAsia="楷体" w:cs="Times New Roman"/>
          <w:snapToGrid w:val="0"/>
          <w:color w:val="auto"/>
          <w:kern w:val="0"/>
          <w:sz w:val="28"/>
          <w:szCs w:val="28"/>
        </w:rPr>
        <w:t>项目产生的噪声主要为自动加料机、单螺杆挤出机、牵引机、无屑切割机等机械设备运行产生的噪声，经基础减震、墙体隔声及距离衰减等措施降低对外环境的影响。</w:t>
      </w:r>
      <w:r>
        <w:rPr>
          <w:rFonts w:hint="default" w:ascii="Times New Roman" w:hAnsi="Times New Roman" w:eastAsia="楷体" w:cs="Times New Roman"/>
          <w:snapToGrid w:val="0"/>
          <w:color w:val="auto"/>
          <w:kern w:val="0"/>
          <w:sz w:val="28"/>
          <w:szCs w:val="28"/>
          <w:lang w:val="en-US" w:eastAsia="zh-CN"/>
        </w:rPr>
        <w:t xml:space="preserve"> </w:t>
      </w:r>
    </w:p>
    <w:p>
      <w:pPr>
        <w:spacing w:line="360" w:lineRule="auto"/>
        <w:ind w:firstLine="420" w:firstLineChars="150"/>
        <w:jc w:val="left"/>
        <w:rPr>
          <w:rFonts w:hint="default" w:ascii="Times New Roman" w:hAnsi="Times New Roman" w:eastAsia="楷体" w:cs="Times New Roman"/>
          <w:color w:val="auto"/>
          <w:sz w:val="28"/>
          <w:szCs w:val="28"/>
        </w:rPr>
      </w:pPr>
      <w:r>
        <w:rPr>
          <w:rFonts w:hint="default" w:ascii="Times New Roman" w:hAnsi="Times New Roman" w:eastAsia="楷体_GB2312" w:cs="Times New Roman"/>
          <w:color w:val="auto"/>
          <w:sz w:val="28"/>
          <w:szCs w:val="28"/>
        </w:rPr>
        <w:t>（</w:t>
      </w:r>
      <w:r>
        <w:rPr>
          <w:rFonts w:hint="default" w:ascii="Times New Roman" w:hAnsi="Times New Roman" w:eastAsia="楷体" w:cs="Times New Roman"/>
          <w:color w:val="auto"/>
          <w:sz w:val="28"/>
          <w:szCs w:val="28"/>
        </w:rPr>
        <w:t>四）固体废物</w:t>
      </w:r>
    </w:p>
    <w:p>
      <w:pPr>
        <w:pStyle w:val="9"/>
        <w:numPr>
          <w:ilvl w:val="0"/>
          <w:numId w:val="0"/>
        </w:numPr>
        <w:spacing w:line="360" w:lineRule="auto"/>
        <w:ind w:left="0" w:leftChars="0" w:firstLine="560" w:firstLineChars="200"/>
        <w:jc w:val="left"/>
        <w:rPr>
          <w:rFonts w:hint="default" w:ascii="Times New Roman" w:hAnsi="Times New Roman" w:eastAsia="楷体" w:cs="Times New Roman"/>
          <w:snapToGrid w:val="0"/>
          <w:color w:val="auto"/>
          <w:kern w:val="0"/>
          <w:sz w:val="28"/>
          <w:szCs w:val="28"/>
          <w:lang w:val="en-US" w:eastAsia="zh-CN" w:bidi="ar-SA"/>
        </w:rPr>
      </w:pPr>
      <w:r>
        <w:rPr>
          <w:rFonts w:hint="default" w:ascii="Times New Roman" w:hAnsi="Times New Roman" w:eastAsia="楷体" w:cs="Times New Roman"/>
          <w:snapToGrid w:val="0"/>
          <w:color w:val="auto"/>
          <w:kern w:val="0"/>
          <w:sz w:val="28"/>
          <w:szCs w:val="28"/>
          <w:lang w:val="en-US" w:eastAsia="zh-CN" w:bidi="ar-SA"/>
        </w:rPr>
        <w:t>项目产生的固体废物主要为产品加工过程中产生的塑料边角料、次品等，工作人员产生的生活垃圾及废UV灯管。</w:t>
      </w:r>
    </w:p>
    <w:p>
      <w:pPr>
        <w:pStyle w:val="9"/>
        <w:numPr>
          <w:ilvl w:val="0"/>
          <w:numId w:val="0"/>
        </w:numPr>
        <w:spacing w:line="360" w:lineRule="auto"/>
        <w:ind w:left="0" w:leftChars="0" w:firstLine="560" w:firstLineChars="200"/>
        <w:jc w:val="left"/>
        <w:rPr>
          <w:rFonts w:hint="default" w:ascii="Times New Roman" w:hAnsi="Times New Roman" w:eastAsia="楷体" w:cs="Times New Roman"/>
          <w:snapToGrid w:val="0"/>
          <w:color w:val="auto"/>
          <w:kern w:val="0"/>
          <w:sz w:val="28"/>
          <w:szCs w:val="28"/>
          <w:lang w:val="en-US" w:eastAsia="zh-CN" w:bidi="ar-SA"/>
        </w:rPr>
      </w:pPr>
      <w:r>
        <w:rPr>
          <w:rFonts w:hint="default" w:ascii="Times New Roman" w:hAnsi="Times New Roman" w:eastAsia="楷体" w:cs="Times New Roman"/>
          <w:snapToGrid w:val="0"/>
          <w:color w:val="auto"/>
          <w:kern w:val="0"/>
          <w:sz w:val="28"/>
          <w:szCs w:val="28"/>
          <w:lang w:val="en-US" w:eastAsia="zh-CN" w:bidi="ar-SA"/>
        </w:rPr>
        <w:t>生活垃圾经垃圾桶收集后，由环卫部门统一定期清运；塑料边角料、次品收集后全部回用于生产工序。废UV灯管属于危险废物，废物类别为HW29含汞废物，废物代码900-023-29，经现场踏勘，废灯管目前尚未产生。一旦产生，须规范放置于危废暂存间，并与有资质单位签订有效的危废处理协议，保证得到妥善处置。</w:t>
      </w:r>
    </w:p>
    <w:p>
      <w:pPr>
        <w:pStyle w:val="9"/>
        <w:numPr>
          <w:ilvl w:val="0"/>
          <w:numId w:val="0"/>
        </w:numPr>
        <w:spacing w:line="360" w:lineRule="auto"/>
        <w:ind w:left="0" w:leftChars="0"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 w:cs="Times New Roman"/>
          <w:color w:val="auto"/>
          <w:sz w:val="28"/>
          <w:szCs w:val="28"/>
          <w:lang w:eastAsia="zh-CN"/>
        </w:rPr>
        <w:t>四、</w:t>
      </w:r>
      <w:r>
        <w:rPr>
          <w:rFonts w:hint="default" w:ascii="Times New Roman" w:hAnsi="Times New Roman" w:eastAsia="楷体_GB2312" w:cs="Times New Roman"/>
          <w:color w:val="auto"/>
          <w:sz w:val="28"/>
          <w:szCs w:val="28"/>
        </w:rPr>
        <w:t>验收监测结果</w:t>
      </w:r>
    </w:p>
    <w:p>
      <w:pPr>
        <w:spacing w:line="360" w:lineRule="auto"/>
        <w:ind w:firstLine="420" w:firstLineChars="15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（一）环保设施运行检测结果</w:t>
      </w:r>
    </w:p>
    <w:p>
      <w:pPr>
        <w:widowControl/>
        <w:spacing w:line="360" w:lineRule="auto"/>
        <w:ind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lang w:eastAsia="zh-CN"/>
        </w:rPr>
        <w:t>山东聊和环保科技有限公司</w:t>
      </w:r>
      <w:r>
        <w:rPr>
          <w:rFonts w:hint="default" w:ascii="Times New Roman" w:hAnsi="Times New Roman" w:eastAsia="楷体_GB2312" w:cs="Times New Roman"/>
          <w:color w:val="auto"/>
          <w:sz w:val="28"/>
          <w:szCs w:val="28"/>
        </w:rPr>
        <w:t>出具的</w:t>
      </w:r>
      <w:r>
        <w:rPr>
          <w:rFonts w:hint="default" w:ascii="Times New Roman" w:hAnsi="Times New Roman" w:eastAsia="楷体_GB2312" w:cs="Times New Roman"/>
          <w:b w:val="0"/>
          <w:bCs w:val="0"/>
          <w:color w:val="auto"/>
          <w:sz w:val="28"/>
          <w:szCs w:val="28"/>
        </w:rPr>
        <w:t>《</w:t>
      </w:r>
      <w:r>
        <w:rPr>
          <w:rFonts w:hint="eastAsia" w:eastAsia="楷体_GB2312" w:cs="Times New Roman"/>
          <w:b w:val="0"/>
          <w:bCs w:val="0"/>
          <w:color w:val="auto"/>
          <w:sz w:val="28"/>
          <w:szCs w:val="28"/>
          <w:lang w:val="en-US" w:eastAsia="zh-CN"/>
        </w:rPr>
        <w:t>山东峰会管业有限公司年产4800吨MPP管材项目</w:t>
      </w:r>
      <w:r>
        <w:rPr>
          <w:rFonts w:hint="default" w:ascii="Times New Roman" w:hAnsi="Times New Roman" w:eastAsia="楷体_GB2312" w:cs="Times New Roman"/>
          <w:color w:val="auto"/>
          <w:sz w:val="28"/>
          <w:szCs w:val="28"/>
        </w:rPr>
        <w:t>竣工环境保护验收监测报告》监测结果表明：</w:t>
      </w:r>
    </w:p>
    <w:p>
      <w:pPr>
        <w:numPr>
          <w:ilvl w:val="0"/>
          <w:numId w:val="1"/>
        </w:numPr>
        <w:spacing w:line="360" w:lineRule="auto"/>
        <w:ind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lang w:eastAsia="zh-CN"/>
        </w:rPr>
        <w:t>废水</w:t>
      </w:r>
    </w:p>
    <w:p>
      <w:pPr>
        <w:spacing w:line="360" w:lineRule="auto"/>
        <w:ind w:left="0" w:leftChars="0" w:firstLine="638" w:firstLineChars="228"/>
        <w:jc w:val="left"/>
        <w:rPr>
          <w:rFonts w:hint="default" w:ascii="Times New Roman" w:hAnsi="Times New Roman" w:eastAsia="楷体" w:cs="Times New Roman"/>
          <w:b w:val="0"/>
          <w:bCs w:val="0"/>
          <w:color w:val="auto"/>
          <w:sz w:val="28"/>
          <w:szCs w:val="28"/>
          <w:lang w:val="en-US" w:eastAsia="zh-CN"/>
        </w:rPr>
      </w:pPr>
      <w:r>
        <w:rPr>
          <w:rFonts w:hint="default" w:ascii="Times New Roman" w:hAnsi="Times New Roman" w:eastAsia="楷体" w:cs="Times New Roman"/>
          <w:b w:val="0"/>
          <w:bCs w:val="0"/>
          <w:color w:val="auto"/>
          <w:sz w:val="28"/>
          <w:szCs w:val="28"/>
          <w:lang w:eastAsia="zh-CN"/>
        </w:rPr>
        <w:t>本项目冷却水进行循环使用，不外排。生活污水排入旱厕收集后用作堆肥，不外排。</w:t>
      </w:r>
    </w:p>
    <w:p>
      <w:pPr>
        <w:numPr>
          <w:ilvl w:val="0"/>
          <w:numId w:val="2"/>
        </w:numPr>
        <w:spacing w:line="360" w:lineRule="auto"/>
        <w:ind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废气</w:t>
      </w:r>
    </w:p>
    <w:p>
      <w:pPr>
        <w:snapToGrid w:val="0"/>
        <w:spacing w:line="360" w:lineRule="auto"/>
        <w:ind w:left="0" w:leftChars="0" w:firstLine="638" w:firstLineChars="228"/>
        <w:rPr>
          <w:rFonts w:hint="default" w:ascii="Times New Roman" w:hAnsi="Times New Roman" w:eastAsia="楷体" w:cs="Times New Roman"/>
          <w:color w:val="auto"/>
          <w:sz w:val="28"/>
          <w:szCs w:val="28"/>
        </w:rPr>
      </w:pPr>
      <w:r>
        <w:rPr>
          <w:rFonts w:eastAsia="楷体"/>
          <w:sz w:val="28"/>
          <w:szCs w:val="28"/>
        </w:rPr>
        <w:t>验收监测期间，有组织苯小时浓度最高为</w:t>
      </w:r>
      <w:r>
        <w:rPr>
          <w:rFonts w:hint="eastAsia" w:eastAsia="楷体"/>
          <w:sz w:val="28"/>
          <w:szCs w:val="28"/>
        </w:rPr>
        <w:t>0.046mg</w:t>
      </w:r>
      <w:r>
        <w:rPr>
          <w:rFonts w:eastAsia="楷体"/>
          <w:sz w:val="28"/>
          <w:szCs w:val="28"/>
        </w:rPr>
        <w:t>/m</w:t>
      </w:r>
      <w:r>
        <w:rPr>
          <w:rFonts w:eastAsia="楷体"/>
          <w:sz w:val="28"/>
          <w:szCs w:val="28"/>
          <w:vertAlign w:val="superscript"/>
        </w:rPr>
        <w:t>3</w:t>
      </w:r>
      <w:r>
        <w:rPr>
          <w:rFonts w:eastAsia="楷体"/>
          <w:sz w:val="28"/>
          <w:szCs w:val="28"/>
        </w:rPr>
        <w:t>，</w:t>
      </w:r>
      <w:r>
        <w:rPr>
          <w:rFonts w:hint="eastAsia" w:eastAsia="楷体"/>
          <w:sz w:val="28"/>
          <w:szCs w:val="28"/>
        </w:rPr>
        <w:t>排放速率最高</w:t>
      </w:r>
      <w:r>
        <w:rPr>
          <w:rFonts w:eastAsia="楷体"/>
          <w:sz w:val="28"/>
          <w:szCs w:val="28"/>
        </w:rPr>
        <w:t>为</w:t>
      </w:r>
      <w:r>
        <w:rPr>
          <w:rFonts w:hint="eastAsia"/>
          <w:sz w:val="28"/>
          <w:szCs w:val="28"/>
        </w:rPr>
        <w:t>1.3×</w:t>
      </w:r>
      <w:r>
        <w:rPr>
          <w:sz w:val="28"/>
          <w:szCs w:val="28"/>
        </w:rPr>
        <w:t>10</w:t>
      </w:r>
      <w:r>
        <w:rPr>
          <w:sz w:val="28"/>
          <w:szCs w:val="28"/>
          <w:vertAlign w:val="superscript"/>
        </w:rPr>
        <w:t>-4</w:t>
      </w:r>
      <w:r>
        <w:rPr>
          <w:sz w:val="28"/>
          <w:szCs w:val="28"/>
        </w:rPr>
        <w:t>kg</w:t>
      </w:r>
      <w:r>
        <w:rPr>
          <w:rFonts w:hint="eastAsia"/>
          <w:sz w:val="28"/>
          <w:szCs w:val="28"/>
        </w:rPr>
        <w:t>/h</w:t>
      </w:r>
      <w:r>
        <w:rPr>
          <w:sz w:val="28"/>
          <w:szCs w:val="28"/>
        </w:rPr>
        <w:t>，</w:t>
      </w:r>
      <w:r>
        <w:rPr>
          <w:rFonts w:hint="eastAsia" w:eastAsia="楷体"/>
          <w:sz w:val="28"/>
          <w:szCs w:val="28"/>
        </w:rPr>
        <w:t>有组织甲苯小时浓度最高为0.156mg</w:t>
      </w:r>
      <w:r>
        <w:rPr>
          <w:rFonts w:eastAsia="楷体"/>
          <w:sz w:val="28"/>
          <w:szCs w:val="28"/>
        </w:rPr>
        <w:t>/m</w:t>
      </w:r>
      <w:r>
        <w:rPr>
          <w:rFonts w:eastAsia="楷体"/>
          <w:sz w:val="28"/>
          <w:szCs w:val="28"/>
          <w:vertAlign w:val="superscript"/>
        </w:rPr>
        <w:t>3</w:t>
      </w:r>
      <w:r>
        <w:rPr>
          <w:rFonts w:eastAsia="楷体"/>
          <w:sz w:val="28"/>
          <w:szCs w:val="28"/>
        </w:rPr>
        <w:t>，</w:t>
      </w:r>
      <w:r>
        <w:rPr>
          <w:rFonts w:hint="eastAsia" w:eastAsia="楷体"/>
          <w:sz w:val="28"/>
          <w:szCs w:val="28"/>
        </w:rPr>
        <w:t>排放速率最高为4.26×</w:t>
      </w:r>
      <w:r>
        <w:rPr>
          <w:sz w:val="28"/>
          <w:szCs w:val="28"/>
        </w:rPr>
        <w:t>10</w:t>
      </w:r>
      <w:r>
        <w:rPr>
          <w:sz w:val="28"/>
          <w:szCs w:val="28"/>
          <w:vertAlign w:val="superscript"/>
        </w:rPr>
        <w:t>-4</w:t>
      </w:r>
      <w:r>
        <w:rPr>
          <w:rFonts w:hint="eastAsia"/>
          <w:sz w:val="28"/>
          <w:szCs w:val="28"/>
        </w:rPr>
        <w:t>kg/h</w:t>
      </w:r>
      <w:r>
        <w:rPr>
          <w:sz w:val="28"/>
          <w:szCs w:val="28"/>
        </w:rPr>
        <w:t>，</w:t>
      </w:r>
      <w:r>
        <w:rPr>
          <w:rFonts w:hint="eastAsia" w:eastAsia="楷体"/>
          <w:sz w:val="28"/>
          <w:szCs w:val="28"/>
        </w:rPr>
        <w:t>有组织二甲苯小时浓度最高为0.090mg</w:t>
      </w:r>
      <w:r>
        <w:rPr>
          <w:rFonts w:eastAsia="楷体"/>
          <w:sz w:val="28"/>
          <w:szCs w:val="28"/>
        </w:rPr>
        <w:t>/m</w:t>
      </w:r>
      <w:r>
        <w:rPr>
          <w:rFonts w:eastAsia="楷体"/>
          <w:sz w:val="28"/>
          <w:szCs w:val="28"/>
          <w:vertAlign w:val="superscript"/>
        </w:rPr>
        <w:t>3</w:t>
      </w:r>
      <w:r>
        <w:rPr>
          <w:rFonts w:eastAsia="楷体"/>
          <w:sz w:val="28"/>
          <w:szCs w:val="28"/>
        </w:rPr>
        <w:t>，</w:t>
      </w:r>
      <w:r>
        <w:rPr>
          <w:rFonts w:hint="eastAsia" w:eastAsia="楷体"/>
          <w:sz w:val="28"/>
          <w:szCs w:val="28"/>
        </w:rPr>
        <w:t>排放速率最高为2.5×10</w:t>
      </w:r>
      <w:r>
        <w:rPr>
          <w:rFonts w:hint="eastAsia" w:eastAsia="楷体"/>
          <w:sz w:val="28"/>
          <w:szCs w:val="28"/>
          <w:vertAlign w:val="superscript"/>
        </w:rPr>
        <w:t>-4</w:t>
      </w:r>
      <w:r>
        <w:rPr>
          <w:rFonts w:hint="eastAsia"/>
          <w:sz w:val="28"/>
          <w:szCs w:val="28"/>
        </w:rPr>
        <w:t>kg/h</w:t>
      </w:r>
      <w:r>
        <w:rPr>
          <w:sz w:val="28"/>
          <w:szCs w:val="28"/>
        </w:rPr>
        <w:t>，</w:t>
      </w:r>
      <w:r>
        <w:rPr>
          <w:rFonts w:eastAsia="楷体"/>
          <w:sz w:val="28"/>
          <w:szCs w:val="28"/>
        </w:rPr>
        <w:t>有组织</w:t>
      </w:r>
      <w:r>
        <w:rPr>
          <w:rFonts w:hint="eastAsia" w:eastAsia="楷体"/>
          <w:sz w:val="28"/>
          <w:szCs w:val="28"/>
        </w:rPr>
        <w:t>VOC</w:t>
      </w:r>
      <w:r>
        <w:rPr>
          <w:rFonts w:hint="eastAsia" w:eastAsia="楷体"/>
          <w:sz w:val="28"/>
          <w:szCs w:val="28"/>
          <w:vertAlign w:val="subscript"/>
        </w:rPr>
        <w:t>s</w:t>
      </w:r>
      <w:r>
        <w:rPr>
          <w:rFonts w:eastAsia="楷体"/>
          <w:sz w:val="28"/>
          <w:szCs w:val="28"/>
        </w:rPr>
        <w:t>小时浓度最高为</w:t>
      </w:r>
      <w:r>
        <w:rPr>
          <w:rFonts w:hint="eastAsia" w:eastAsia="楷体"/>
          <w:sz w:val="28"/>
          <w:szCs w:val="28"/>
        </w:rPr>
        <w:t>1.08mg</w:t>
      </w:r>
      <w:r>
        <w:rPr>
          <w:rFonts w:eastAsia="楷体"/>
          <w:sz w:val="28"/>
          <w:szCs w:val="28"/>
        </w:rPr>
        <w:t>/m</w:t>
      </w:r>
      <w:r>
        <w:rPr>
          <w:rFonts w:eastAsia="楷体"/>
          <w:sz w:val="28"/>
          <w:szCs w:val="28"/>
          <w:vertAlign w:val="superscript"/>
        </w:rPr>
        <w:t>3</w:t>
      </w:r>
      <w:r>
        <w:rPr>
          <w:rFonts w:eastAsia="楷体"/>
          <w:sz w:val="28"/>
          <w:szCs w:val="28"/>
        </w:rPr>
        <w:t>，</w:t>
      </w:r>
      <w:r>
        <w:rPr>
          <w:rFonts w:hint="eastAsia" w:eastAsia="楷体"/>
          <w:sz w:val="28"/>
          <w:szCs w:val="28"/>
        </w:rPr>
        <w:t>排放速率最高为</w:t>
      </w:r>
      <w:r>
        <w:rPr>
          <w:rFonts w:hint="eastAsia"/>
          <w:sz w:val="28"/>
          <w:szCs w:val="28"/>
        </w:rPr>
        <w:t>2.93×10</w:t>
      </w:r>
      <w:r>
        <w:rPr>
          <w:rFonts w:hint="eastAsia"/>
          <w:bCs/>
          <w:sz w:val="28"/>
          <w:szCs w:val="28"/>
          <w:vertAlign w:val="superscript"/>
        </w:rPr>
        <w:t>-3</w:t>
      </w:r>
      <w:r>
        <w:rPr>
          <w:rFonts w:hint="eastAsia"/>
          <w:sz w:val="28"/>
          <w:szCs w:val="28"/>
        </w:rPr>
        <w:t>kg/h</w:t>
      </w:r>
      <w:r>
        <w:rPr>
          <w:sz w:val="28"/>
          <w:szCs w:val="28"/>
        </w:rPr>
        <w:t>，</w:t>
      </w:r>
      <w:r>
        <w:rPr>
          <w:rFonts w:hint="eastAsia" w:eastAsia="楷体"/>
          <w:sz w:val="28"/>
          <w:szCs w:val="28"/>
        </w:rPr>
        <w:t>均满足</w:t>
      </w:r>
      <w:r>
        <w:rPr>
          <w:rFonts w:eastAsia="楷体"/>
          <w:sz w:val="28"/>
          <w:szCs w:val="28"/>
        </w:rPr>
        <w:t>《挥发性有机物排放标准 第5部分:表面涂装行业》(DB37/2801.5-2018)表2标准要求</w:t>
      </w:r>
      <w:r>
        <w:rPr>
          <w:rFonts w:hint="eastAsia" w:eastAsia="楷体"/>
          <w:sz w:val="28"/>
          <w:szCs w:val="28"/>
        </w:rPr>
        <w:t>。无组织苯、无组织甲苯及无组织二甲苯均未检出</w:t>
      </w:r>
      <w:r>
        <w:rPr>
          <w:rFonts w:eastAsia="楷体"/>
          <w:sz w:val="28"/>
          <w:szCs w:val="28"/>
        </w:rPr>
        <w:t>，无组织</w:t>
      </w:r>
      <w:r>
        <w:rPr>
          <w:rFonts w:hint="eastAsia" w:eastAsia="楷体"/>
          <w:sz w:val="28"/>
          <w:szCs w:val="28"/>
        </w:rPr>
        <w:t>VOC</w:t>
      </w:r>
      <w:r>
        <w:rPr>
          <w:rFonts w:hint="eastAsia" w:eastAsia="楷体"/>
          <w:sz w:val="28"/>
          <w:szCs w:val="28"/>
          <w:vertAlign w:val="subscript"/>
        </w:rPr>
        <w:t>s</w:t>
      </w:r>
      <w:r>
        <w:rPr>
          <w:rFonts w:hint="eastAsia" w:eastAsia="楷体"/>
          <w:sz w:val="28"/>
          <w:szCs w:val="28"/>
        </w:rPr>
        <w:t>小时浓度最高为0.79</w:t>
      </w:r>
      <w:r>
        <w:rPr>
          <w:rFonts w:eastAsia="楷体"/>
          <w:sz w:val="28"/>
          <w:szCs w:val="28"/>
        </w:rPr>
        <w:t>mg/m</w:t>
      </w:r>
      <w:r>
        <w:rPr>
          <w:rFonts w:eastAsia="楷体"/>
          <w:sz w:val="28"/>
          <w:szCs w:val="28"/>
          <w:vertAlign w:val="superscript"/>
        </w:rPr>
        <w:t>3</w:t>
      </w:r>
      <w:r>
        <w:rPr>
          <w:rFonts w:eastAsia="楷体"/>
          <w:sz w:val="28"/>
          <w:szCs w:val="28"/>
        </w:rPr>
        <w:t>，</w:t>
      </w:r>
      <w:r>
        <w:rPr>
          <w:rFonts w:hint="eastAsia" w:eastAsia="楷体"/>
          <w:sz w:val="28"/>
          <w:szCs w:val="28"/>
        </w:rPr>
        <w:t>均满足</w:t>
      </w:r>
      <w:r>
        <w:rPr>
          <w:rFonts w:eastAsia="楷体"/>
          <w:sz w:val="28"/>
          <w:szCs w:val="28"/>
        </w:rPr>
        <w:t>《挥发性有机物排放标准 第5部分:表面涂装行业》(DB37/2801.5-2018)表3标准要求</w:t>
      </w:r>
      <w:r>
        <w:rPr>
          <w:rFonts w:hint="default" w:ascii="Times New Roman" w:hAnsi="Times New Roman" w:eastAsia="楷体" w:cs="Times New Roman"/>
          <w:color w:val="auto"/>
          <w:sz w:val="28"/>
          <w:szCs w:val="28"/>
          <w:lang w:val="en-US" w:eastAsia="zh-CN"/>
        </w:rPr>
        <w:t>。</w:t>
      </w:r>
    </w:p>
    <w:p>
      <w:pPr>
        <w:spacing w:line="360" w:lineRule="auto"/>
        <w:ind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lang w:val="en-US" w:eastAsia="zh-CN"/>
        </w:rPr>
        <w:t>3</w:t>
      </w:r>
      <w:r>
        <w:rPr>
          <w:rFonts w:hint="default" w:ascii="Times New Roman" w:hAnsi="Times New Roman" w:eastAsia="楷体_GB2312" w:cs="Times New Roman"/>
          <w:color w:val="auto"/>
          <w:sz w:val="28"/>
          <w:szCs w:val="28"/>
        </w:rPr>
        <w:t>. 噪声</w:t>
      </w:r>
    </w:p>
    <w:p>
      <w:pPr>
        <w:spacing w:line="360" w:lineRule="auto"/>
        <w:ind w:firstLine="482"/>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lang w:val="en-US" w:eastAsia="zh-CN"/>
        </w:rPr>
        <w:t xml:space="preserve"> 验收监测期间，监测点位昼间噪声在53.1dB(A)-57.7dB(A)之间，夜间噪声在44.1dB(A)-47.5dB(A)之间，符合《工业企业厂界环境噪声排放标准》（GB12348-2008）中的2类标准限值</w:t>
      </w:r>
      <w:r>
        <w:rPr>
          <w:rFonts w:hint="default" w:ascii="Times New Roman" w:hAnsi="Times New Roman" w:eastAsia="楷体" w:cs="Times New Roman"/>
          <w:color w:val="auto"/>
          <w:sz w:val="28"/>
          <w:szCs w:val="28"/>
        </w:rPr>
        <w:t>。</w:t>
      </w:r>
    </w:p>
    <w:p>
      <w:pPr>
        <w:numPr>
          <w:ilvl w:val="0"/>
          <w:numId w:val="3"/>
        </w:numPr>
        <w:spacing w:line="360" w:lineRule="auto"/>
        <w:ind w:firstLine="560" w:firstLineChars="200"/>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固体废物</w:t>
      </w:r>
    </w:p>
    <w:p>
      <w:pPr>
        <w:pStyle w:val="9"/>
        <w:numPr>
          <w:ilvl w:val="0"/>
          <w:numId w:val="0"/>
        </w:numPr>
        <w:spacing w:line="360" w:lineRule="auto"/>
        <w:ind w:left="0" w:leftChars="0" w:firstLine="560" w:firstLineChars="20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生活垃圾经垃圾桶收集后，由环卫部门统一定期清运；塑料边角料、次品收集后全部回用于生产工序。废UV灯管属于危险废物，废物类别为HW29含汞废物，废物代码900-023-29，经现场踏勘，废灯管目前尚未产生。一旦产生，须规范放置于危废暂存间，并与有资质单位签订有效的危废处理协议，保证得到妥善处置。</w:t>
      </w:r>
    </w:p>
    <w:p>
      <w:pPr>
        <w:spacing w:beforeLines="50" w:line="360" w:lineRule="auto"/>
        <w:ind w:firstLine="280" w:firstLineChars="100"/>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（二）环境管理调查</w:t>
      </w:r>
    </w:p>
    <w:p>
      <w:pPr>
        <w:spacing w:line="360" w:lineRule="auto"/>
        <w:ind w:firstLine="560" w:firstLineChars="200"/>
        <w:rPr>
          <w:rFonts w:hint="default" w:ascii="Times New Roman" w:hAnsi="Times New Roman" w:eastAsia="楷体_GB2312" w:cs="Times New Roman"/>
          <w:color w:val="auto"/>
          <w:sz w:val="28"/>
          <w:szCs w:val="28"/>
        </w:rPr>
      </w:pPr>
      <w:r>
        <w:rPr>
          <w:rFonts w:hint="eastAsia" w:eastAsia="楷体" w:cs="Times New Roman"/>
          <w:color w:val="auto"/>
          <w:sz w:val="28"/>
          <w:szCs w:val="36"/>
          <w:lang w:eastAsia="zh-CN"/>
        </w:rPr>
        <w:t>山东峰会管业有限公司</w:t>
      </w:r>
      <w:r>
        <w:rPr>
          <w:rFonts w:hint="default" w:ascii="Times New Roman" w:hAnsi="Times New Roman" w:eastAsia="楷体_GB2312" w:cs="Times New Roman"/>
          <w:color w:val="auto"/>
          <w:sz w:val="28"/>
          <w:szCs w:val="28"/>
        </w:rPr>
        <w:t>制定了《</w:t>
      </w:r>
      <w:r>
        <w:rPr>
          <w:rFonts w:hint="eastAsia" w:eastAsia="楷体" w:cs="Times New Roman"/>
          <w:color w:val="auto"/>
          <w:sz w:val="28"/>
          <w:szCs w:val="36"/>
          <w:lang w:eastAsia="zh-CN"/>
        </w:rPr>
        <w:t>山东峰会管业有限公司</w:t>
      </w:r>
      <w:r>
        <w:rPr>
          <w:rFonts w:hint="default" w:ascii="Times New Roman" w:hAnsi="Times New Roman" w:eastAsia="楷体_GB2312" w:cs="Times New Roman"/>
          <w:color w:val="auto"/>
          <w:sz w:val="28"/>
          <w:szCs w:val="28"/>
        </w:rPr>
        <w:t>环保管理制度》</w:t>
      </w:r>
      <w:r>
        <w:rPr>
          <w:rFonts w:hint="default" w:ascii="Times New Roman" w:hAnsi="Times New Roman" w:eastAsia="楷体_GB2312" w:cs="Times New Roman"/>
          <w:color w:val="auto"/>
          <w:sz w:val="28"/>
          <w:szCs w:val="28"/>
          <w:lang w:eastAsia="zh-CN"/>
        </w:rPr>
        <w:t>，</w:t>
      </w:r>
      <w:r>
        <w:rPr>
          <w:rFonts w:hint="default" w:ascii="Times New Roman" w:hAnsi="Times New Roman" w:eastAsia="楷体_GB2312" w:cs="Times New Roman"/>
          <w:color w:val="auto"/>
          <w:sz w:val="28"/>
          <w:szCs w:val="28"/>
        </w:rPr>
        <w:t>并设立了相关机构。日常工作由</w:t>
      </w:r>
      <w:r>
        <w:rPr>
          <w:rFonts w:hint="eastAsia" w:ascii="Times New Roman" w:hAnsi="Times New Roman" w:eastAsia="楷体_GB2312" w:cs="Times New Roman"/>
          <w:color w:val="auto"/>
          <w:sz w:val="28"/>
          <w:szCs w:val="28"/>
          <w:lang w:eastAsia="zh-CN"/>
        </w:rPr>
        <w:t>办公室</w:t>
      </w:r>
      <w:r>
        <w:rPr>
          <w:rFonts w:hint="default" w:ascii="Times New Roman" w:hAnsi="Times New Roman" w:eastAsia="楷体_GB2312" w:cs="Times New Roman"/>
          <w:color w:val="auto"/>
          <w:sz w:val="28"/>
          <w:szCs w:val="28"/>
        </w:rPr>
        <w:t>管理，其主要职责是：行使公司环保工作的计划、组织、指挥、协调、检查和考核管理职能，日常一切工作须对公司负责。</w:t>
      </w:r>
    </w:p>
    <w:p>
      <w:pPr>
        <w:spacing w:line="360" w:lineRule="auto"/>
        <w:ind w:firstLine="420" w:firstLineChars="15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五、专家意见：</w:t>
      </w:r>
    </w:p>
    <w:p>
      <w:pPr>
        <w:spacing w:line="360" w:lineRule="auto"/>
        <w:ind w:firstLine="420" w:firstLineChars="15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在今后企业环保工作中，建议企业落实以下要求。</w:t>
      </w:r>
    </w:p>
    <w:p>
      <w:pPr>
        <w:pStyle w:val="5"/>
        <w:numPr>
          <w:ilvl w:val="0"/>
          <w:numId w:val="4"/>
        </w:numPr>
        <w:ind w:left="560" w:leftChars="0" w:firstLine="0" w:firstLineChars="0"/>
        <w:rPr>
          <w:rFonts w:hint="default" w:ascii="Times New Roman" w:hAnsi="Times New Roman" w:eastAsia="楷体_GB2312" w:cs="Times New Roman"/>
          <w:color w:val="auto"/>
          <w:sz w:val="28"/>
          <w:szCs w:val="28"/>
          <w:lang w:val="en-US" w:eastAsia="zh-CN"/>
        </w:rPr>
      </w:pPr>
      <w:r>
        <w:rPr>
          <w:rFonts w:hint="eastAsia" w:ascii="Times New Roman" w:hAnsi="Times New Roman" w:eastAsia="楷体_GB2312" w:cs="Times New Roman"/>
          <w:color w:val="auto"/>
          <w:sz w:val="28"/>
          <w:szCs w:val="28"/>
          <w:lang w:val="en-US" w:eastAsia="zh-CN"/>
        </w:rPr>
        <w:t>加大集气罩收集效率</w:t>
      </w:r>
      <w:r>
        <w:rPr>
          <w:rFonts w:hint="default" w:ascii="Times New Roman" w:hAnsi="Times New Roman" w:eastAsia="楷体_GB2312" w:cs="Times New Roman"/>
          <w:color w:val="auto"/>
          <w:sz w:val="28"/>
          <w:szCs w:val="28"/>
          <w:lang w:val="en-US" w:eastAsia="zh-CN"/>
        </w:rPr>
        <w:t>；</w:t>
      </w:r>
    </w:p>
    <w:p>
      <w:pPr>
        <w:pStyle w:val="5"/>
        <w:numPr>
          <w:ilvl w:val="0"/>
          <w:numId w:val="4"/>
        </w:numPr>
        <w:ind w:left="560" w:leftChars="0" w:firstLine="0" w:firstLineChars="0"/>
        <w:rPr>
          <w:rFonts w:hint="default" w:ascii="Times New Roman" w:hAnsi="Times New Roman" w:eastAsia="楷体_GB2312" w:cs="Times New Roman"/>
          <w:color w:val="auto"/>
          <w:sz w:val="28"/>
          <w:szCs w:val="28"/>
          <w:lang w:val="en-US" w:eastAsia="zh-CN"/>
        </w:rPr>
      </w:pPr>
      <w:r>
        <w:rPr>
          <w:rFonts w:hint="eastAsia" w:ascii="Times New Roman" w:hAnsi="Times New Roman" w:eastAsia="楷体_GB2312" w:cs="Times New Roman"/>
          <w:color w:val="auto"/>
          <w:sz w:val="28"/>
          <w:szCs w:val="28"/>
          <w:lang w:val="en-US" w:eastAsia="zh-CN"/>
        </w:rPr>
        <w:t>规范监测平台及爬梯；</w:t>
      </w:r>
    </w:p>
    <w:p>
      <w:pPr>
        <w:pStyle w:val="5"/>
        <w:numPr>
          <w:ilvl w:val="0"/>
          <w:numId w:val="0"/>
        </w:numPr>
        <w:ind w:left="560" w:leftChars="0"/>
        <w:rPr>
          <w:rFonts w:hint="default" w:ascii="Times New Roman" w:hAnsi="Times New Roman" w:eastAsia="楷体_GB2312" w:cs="Times New Roman"/>
          <w:color w:val="auto"/>
          <w:sz w:val="28"/>
          <w:szCs w:val="28"/>
          <w:lang w:val="en-US" w:eastAsia="zh-CN"/>
        </w:rPr>
      </w:pPr>
      <w:r>
        <w:rPr>
          <w:rFonts w:hint="eastAsia" w:ascii="Times New Roman" w:hAnsi="Times New Roman" w:eastAsia="楷体_GB2312" w:cs="Times New Roman"/>
          <w:color w:val="auto"/>
          <w:sz w:val="28"/>
          <w:szCs w:val="28"/>
          <w:lang w:val="en-US" w:eastAsia="zh-CN"/>
        </w:rPr>
        <w:t>3</w:t>
      </w:r>
      <w:r>
        <w:rPr>
          <w:rFonts w:hint="default" w:ascii="Times New Roman" w:hAnsi="Times New Roman" w:eastAsia="楷体_GB2312" w:cs="Times New Roman"/>
          <w:color w:val="auto"/>
          <w:sz w:val="28"/>
          <w:szCs w:val="28"/>
          <w:lang w:val="en-US" w:eastAsia="zh-CN"/>
        </w:rPr>
        <w:t>、及时清理下脚料，保持厂区卫生。</w:t>
      </w:r>
    </w:p>
    <w:p>
      <w:pPr>
        <w:spacing w:line="360" w:lineRule="auto"/>
        <w:ind w:firstLine="420" w:firstLineChars="15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lang w:eastAsia="zh-CN"/>
        </w:rPr>
        <w:t>六</w:t>
      </w:r>
      <w:r>
        <w:rPr>
          <w:rFonts w:hint="default" w:ascii="Times New Roman" w:hAnsi="Times New Roman" w:eastAsia="楷体_GB2312" w:cs="Times New Roman"/>
          <w:color w:val="auto"/>
          <w:sz w:val="28"/>
          <w:szCs w:val="28"/>
        </w:rPr>
        <w:t>、验收结论</w:t>
      </w:r>
    </w:p>
    <w:p>
      <w:pPr>
        <w:spacing w:line="360" w:lineRule="auto"/>
        <w:ind w:firstLine="555"/>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验收组一致认为该项目实施过程中按照环评及其批复要求落实了相关环保措施，环保手续齐全，建立了相应的环保管理制度，项目建设过程无重大变更。按环境影响报告表及审批要求建设了环境保护设施。验收监测各项指标满足国家相关排放标准。</w:t>
      </w:r>
    </w:p>
    <w:p>
      <w:pPr>
        <w:tabs>
          <w:tab w:val="left" w:pos="5955"/>
          <w:tab w:val="left" w:pos="6095"/>
        </w:tabs>
        <w:spacing w:line="360" w:lineRule="auto"/>
        <w:ind w:firstLine="560" w:firstLineChars="200"/>
        <w:jc w:val="lef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鉴于项目符合国家和地方相关产业标准及准入要求，用地符合当地规划，环保设施与生产配套，验收期间各项监测指标满足国家相关排放标准，该项目通过环保验收。</w:t>
      </w:r>
    </w:p>
    <w:p>
      <w:pPr>
        <w:spacing w:line="360" w:lineRule="auto"/>
        <w:jc w:val="right"/>
        <w:rPr>
          <w:rFonts w:hint="default" w:ascii="Times New Roman" w:hAnsi="Times New Roman" w:eastAsia="楷体_GB2312" w:cs="Times New Roman"/>
          <w:color w:val="auto"/>
          <w:sz w:val="28"/>
          <w:szCs w:val="28"/>
        </w:rPr>
      </w:pPr>
      <w:r>
        <w:rPr>
          <w:rFonts w:hint="default" w:ascii="Times New Roman" w:hAnsi="Times New Roman" w:eastAsia="楷体_GB2312" w:cs="Times New Roman"/>
          <w:color w:val="auto"/>
          <w:sz w:val="28"/>
          <w:szCs w:val="28"/>
        </w:rPr>
        <w:t xml:space="preserve">                          </w:t>
      </w:r>
      <w:r>
        <w:rPr>
          <w:rFonts w:hint="eastAsia" w:eastAsia="楷体" w:cs="Times New Roman"/>
          <w:color w:val="auto"/>
          <w:sz w:val="28"/>
          <w:szCs w:val="36"/>
          <w:lang w:eastAsia="zh-CN"/>
        </w:rPr>
        <w:t>山东峰会管业有限公司</w:t>
      </w:r>
      <w:r>
        <w:rPr>
          <w:rFonts w:hint="default" w:ascii="Times New Roman" w:hAnsi="Times New Roman" w:eastAsia="楷体_GB2312" w:cs="Times New Roman"/>
          <w:color w:val="auto"/>
          <w:sz w:val="28"/>
          <w:szCs w:val="28"/>
        </w:rPr>
        <w:t>验收组</w:t>
      </w:r>
    </w:p>
    <w:p>
      <w:pPr>
        <w:spacing w:line="360" w:lineRule="auto"/>
        <w:jc w:val="right"/>
        <w:rPr>
          <w:rFonts w:hint="default" w:ascii="Times New Roman" w:hAnsi="Times New Roman" w:cs="Times New Roman"/>
          <w:color w:val="auto"/>
        </w:rPr>
      </w:pPr>
      <w:r>
        <w:rPr>
          <w:rFonts w:hint="default" w:ascii="Times New Roman" w:hAnsi="Times New Roman" w:eastAsia="楷体_GB2312" w:cs="Times New Roman"/>
          <w:color w:val="auto"/>
          <w:sz w:val="28"/>
          <w:szCs w:val="28"/>
        </w:rPr>
        <w:t xml:space="preserve">                            </w:t>
      </w:r>
      <w:r>
        <w:rPr>
          <w:rFonts w:hint="default" w:ascii="Times New Roman" w:hAnsi="Times New Roman" w:eastAsia="楷体_GB2312" w:cs="Times New Roman"/>
          <w:color w:val="auto"/>
          <w:sz w:val="28"/>
          <w:szCs w:val="28"/>
          <w:highlight w:val="none"/>
        </w:rPr>
        <w:t xml:space="preserve">    2018年</w:t>
      </w:r>
      <w:r>
        <w:rPr>
          <w:rFonts w:hint="eastAsia" w:eastAsia="楷体_GB2312" w:cs="Times New Roman"/>
          <w:color w:val="auto"/>
          <w:sz w:val="28"/>
          <w:szCs w:val="28"/>
          <w:highlight w:val="none"/>
          <w:lang w:val="en-US" w:eastAsia="zh-CN"/>
        </w:rPr>
        <w:t>12</w:t>
      </w:r>
      <w:r>
        <w:rPr>
          <w:rFonts w:hint="default" w:ascii="Times New Roman" w:hAnsi="Times New Roman" w:eastAsia="楷体_GB2312" w:cs="Times New Roman"/>
          <w:color w:val="auto"/>
          <w:sz w:val="28"/>
          <w:szCs w:val="28"/>
          <w:highlight w:val="none"/>
        </w:rPr>
        <w:t>月</w:t>
      </w:r>
      <w:r>
        <w:rPr>
          <w:rFonts w:hint="default" w:ascii="Times New Roman" w:hAnsi="Times New Roman" w:eastAsia="楷体_GB2312" w:cs="Times New Roman"/>
          <w:color w:val="auto"/>
          <w:sz w:val="28"/>
          <w:szCs w:val="28"/>
          <w:highlight w:val="none"/>
          <w:lang w:val="en-US" w:eastAsia="zh-CN"/>
        </w:rPr>
        <w:t>1</w:t>
      </w:r>
      <w:r>
        <w:rPr>
          <w:rFonts w:hint="eastAsia" w:eastAsia="楷体_GB2312" w:cs="Times New Roman"/>
          <w:color w:val="auto"/>
          <w:sz w:val="28"/>
          <w:szCs w:val="28"/>
          <w:highlight w:val="none"/>
          <w:lang w:val="en-US" w:eastAsia="zh-CN"/>
        </w:rPr>
        <w:t>7</w:t>
      </w:r>
      <w:bookmarkStart w:id="0" w:name="_GoBack"/>
      <w:bookmarkEnd w:id="0"/>
      <w:r>
        <w:rPr>
          <w:rFonts w:hint="default" w:ascii="Times New Roman" w:hAnsi="Times New Roman" w:eastAsia="楷体_GB2312" w:cs="Times New Roman"/>
          <w:color w:val="auto"/>
          <w:sz w:val="28"/>
          <w:szCs w:val="28"/>
          <w:highlight w:val="none"/>
        </w:rPr>
        <w:t xml:space="preserve">日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F2F051"/>
    <w:multiLevelType w:val="singleLevel"/>
    <w:tmpl w:val="A1F2F051"/>
    <w:lvl w:ilvl="0" w:tentative="0">
      <w:start w:val="1"/>
      <w:numFmt w:val="decimal"/>
      <w:suff w:val="nothing"/>
      <w:lvlText w:val="%1、"/>
      <w:lvlJc w:val="left"/>
      <w:pPr>
        <w:ind w:left="560" w:leftChars="0" w:firstLine="0" w:firstLineChars="0"/>
      </w:pPr>
    </w:lvl>
  </w:abstractNum>
  <w:abstractNum w:abstractNumId="1">
    <w:nsid w:val="C65E2C2C"/>
    <w:multiLevelType w:val="singleLevel"/>
    <w:tmpl w:val="C65E2C2C"/>
    <w:lvl w:ilvl="0" w:tentative="0">
      <w:start w:val="4"/>
      <w:numFmt w:val="decimal"/>
      <w:suff w:val="space"/>
      <w:lvlText w:val="%1."/>
      <w:lvlJc w:val="left"/>
    </w:lvl>
  </w:abstractNum>
  <w:abstractNum w:abstractNumId="2">
    <w:nsid w:val="EC370676"/>
    <w:multiLevelType w:val="singleLevel"/>
    <w:tmpl w:val="EC370676"/>
    <w:lvl w:ilvl="0" w:tentative="0">
      <w:start w:val="1"/>
      <w:numFmt w:val="decimal"/>
      <w:suff w:val="space"/>
      <w:lvlText w:val="%1."/>
      <w:lvlJc w:val="left"/>
    </w:lvl>
  </w:abstractNum>
  <w:abstractNum w:abstractNumId="3">
    <w:nsid w:val="4401761E"/>
    <w:multiLevelType w:val="singleLevel"/>
    <w:tmpl w:val="4401761E"/>
    <w:lvl w:ilvl="0" w:tentative="0">
      <w:start w:val="2"/>
      <w:numFmt w:val="decimal"/>
      <w:suff w:val="space"/>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A719E"/>
    <w:rsid w:val="030F5404"/>
    <w:rsid w:val="0B711F13"/>
    <w:rsid w:val="0BC97A7A"/>
    <w:rsid w:val="0EC15507"/>
    <w:rsid w:val="0F9E00C8"/>
    <w:rsid w:val="181F582C"/>
    <w:rsid w:val="18D05E89"/>
    <w:rsid w:val="194536F7"/>
    <w:rsid w:val="1AB228FE"/>
    <w:rsid w:val="27420539"/>
    <w:rsid w:val="2A2225DC"/>
    <w:rsid w:val="2C1E6C3F"/>
    <w:rsid w:val="394E218A"/>
    <w:rsid w:val="3AA3253F"/>
    <w:rsid w:val="3CBC00FB"/>
    <w:rsid w:val="440B2C50"/>
    <w:rsid w:val="4F4B3AC9"/>
    <w:rsid w:val="639760D3"/>
    <w:rsid w:val="66825C6D"/>
    <w:rsid w:val="77930543"/>
    <w:rsid w:val="78F400A0"/>
    <w:rsid w:val="79322C88"/>
    <w:rsid w:val="7C6E1004"/>
    <w:rsid w:val="7F765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li_正文"/>
    <w:basedOn w:val="1"/>
    <w:qFormat/>
    <w:uiPriority w:val="0"/>
    <w:pPr>
      <w:ind w:firstLine="200" w:firstLineChars="200"/>
      <w:jc w:val="left"/>
    </w:pPr>
    <w:rPr>
      <w:rFonts w:ascii="Calibri" w:hAnsi="Calibri" w:eastAsia="宋体" w:cs="Times New Roman"/>
      <w:sz w:val="28"/>
      <w:szCs w:val="28"/>
    </w:rPr>
  </w:style>
  <w:style w:type="paragraph" w:styleId="3">
    <w:name w:val="annotation text"/>
    <w:basedOn w:val="1"/>
    <w:semiHidden/>
    <w:unhideWhenUsed/>
    <w:qFormat/>
    <w:uiPriority w:val="99"/>
    <w:pPr>
      <w:jc w:val="left"/>
    </w:pPr>
  </w:style>
  <w:style w:type="paragraph" w:styleId="4">
    <w:name w:val="Block Text"/>
    <w:basedOn w:val="1"/>
    <w:semiHidden/>
    <w:unhideWhenUsed/>
    <w:qFormat/>
    <w:uiPriority w:val="99"/>
    <w:pPr>
      <w:adjustRightInd/>
      <w:ind w:left="525" w:leftChars="250" w:right="685" w:rightChars="326" w:firstLine="560"/>
      <w:jc w:val="both"/>
      <w:textAlignment w:val="auto"/>
    </w:pPr>
    <w:rPr>
      <w:sz w:val="28"/>
      <w:szCs w:val="24"/>
    </w:rPr>
  </w:style>
  <w:style w:type="paragraph" w:styleId="5">
    <w:name w:val="Plain Text"/>
    <w:basedOn w:val="1"/>
    <w:semiHidden/>
    <w:unhideWhenUsed/>
    <w:qFormat/>
    <w:uiPriority w:val="99"/>
    <w:rPr>
      <w:rFonts w:ascii="宋体" w:hAnsi="Courier New" w:cs="Courier New"/>
      <w:szCs w:val="21"/>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不二橙</cp:lastModifiedBy>
  <dcterms:modified xsi:type="dcterms:W3CDTF">2018-12-17T01:24:40Z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